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FA8" w:rsidRDefault="00641FA8" w:rsidP="00A1354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DESTACANDO ALGUMAS </w:t>
      </w:r>
      <w:r w:rsidR="00F4664F">
        <w:rPr>
          <w:rFonts w:cstheme="minorHAnsi"/>
          <w:b/>
          <w:sz w:val="24"/>
          <w:szCs w:val="24"/>
        </w:rPr>
        <w:t xml:space="preserve">FRAGILIDADES DA </w:t>
      </w:r>
    </w:p>
    <w:p w:rsidR="00A13548" w:rsidRDefault="00A13548" w:rsidP="00A1354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POLÍTICA HABITACIONAL DE INTERESSE SOCIAL</w:t>
      </w:r>
      <w:r w:rsidR="00F4664F">
        <w:rPr>
          <w:rFonts w:cstheme="minorHAnsi"/>
          <w:b/>
          <w:sz w:val="24"/>
          <w:szCs w:val="24"/>
        </w:rPr>
        <w:t xml:space="preserve"> NO ÂMBITO DO PMCMV</w:t>
      </w:r>
      <w:r>
        <w:rPr>
          <w:rFonts w:cstheme="minorHAnsi"/>
          <w:b/>
          <w:sz w:val="24"/>
          <w:szCs w:val="24"/>
        </w:rPr>
        <w:t xml:space="preserve"> </w:t>
      </w:r>
    </w:p>
    <w:p w:rsidR="00A13548" w:rsidRPr="003714C4" w:rsidRDefault="00A13548" w:rsidP="00A1354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41FA8" w:rsidRDefault="00641FA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CF1E74" w:rsidRPr="003F4FF8" w:rsidRDefault="00756236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Simone da Silva Costa</w:t>
      </w:r>
    </w:p>
    <w:p w:rsidR="00D22DFD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hyperlink r:id="rId8" w:history="1">
        <w:r w:rsidR="00756236" w:rsidRPr="001517FF">
          <w:rPr>
            <w:rStyle w:val="Hyperlink"/>
            <w:rFonts w:cs="Calibri"/>
            <w:sz w:val="20"/>
            <w:szCs w:val="20"/>
          </w:rPr>
          <w:t>mone_win@hotmail.com</w:t>
        </w:r>
      </w:hyperlink>
    </w:p>
    <w:p w:rsidR="00756236" w:rsidRDefault="00756236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DC1FE5" w:rsidRPr="003F4FF8" w:rsidRDefault="00831F54" w:rsidP="00756236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color w:val="000000"/>
          <w:sz w:val="24"/>
          <w:szCs w:val="24"/>
        </w:rPr>
        <w:t xml:space="preserve">Linha de pesquisa: </w:t>
      </w:r>
      <w:r w:rsidR="00756236">
        <w:rPr>
          <w:rFonts w:cs="Calibri"/>
          <w:color w:val="000000"/>
          <w:sz w:val="24"/>
          <w:szCs w:val="24"/>
        </w:rPr>
        <w:t>Política e Projeto de Habitação Social</w:t>
      </w:r>
    </w:p>
    <w:p w:rsidR="00CF1E74" w:rsidRPr="003F4FF8" w:rsidRDefault="00263440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w:pict>
          <v:line id="Conector reto 1" o:spid="_x0000_s1026" style="position:absolute;z-index:251657728;visibility:visibl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</w:pict>
      </w:r>
    </w:p>
    <w:p w:rsidR="00756236" w:rsidRDefault="00756236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56236" w:rsidSect="00FD264B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75623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56236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</w:p>
    <w:p w:rsidR="00756236" w:rsidRDefault="00756236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A13548" w:rsidRPr="003714C4" w:rsidRDefault="00A13548" w:rsidP="002F1D31">
      <w:pPr>
        <w:spacing w:after="0" w:line="240" w:lineRule="auto"/>
        <w:ind w:firstLine="567"/>
        <w:jc w:val="both"/>
        <w:rPr>
          <w:rFonts w:cstheme="minorHAnsi"/>
          <w:szCs w:val="24"/>
        </w:rPr>
      </w:pPr>
      <w:r w:rsidRPr="003714C4">
        <w:rPr>
          <w:rFonts w:cstheme="minorHAnsi"/>
          <w:szCs w:val="24"/>
        </w:rPr>
        <w:t xml:space="preserve">Este estudo procura fazer uma reflexão sobre </w:t>
      </w:r>
      <w:r w:rsidR="00F4664F">
        <w:rPr>
          <w:rFonts w:cstheme="minorHAnsi"/>
          <w:szCs w:val="24"/>
        </w:rPr>
        <w:t>as fragilidades</w:t>
      </w:r>
      <w:r w:rsidRPr="003714C4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da Política </w:t>
      </w:r>
      <w:r w:rsidRPr="003714C4">
        <w:rPr>
          <w:rFonts w:cstheme="minorHAnsi"/>
          <w:szCs w:val="24"/>
        </w:rPr>
        <w:t>de Habitação de Interesse Social</w:t>
      </w:r>
      <w:r>
        <w:rPr>
          <w:rFonts w:cstheme="minorHAnsi"/>
          <w:szCs w:val="24"/>
        </w:rPr>
        <w:t xml:space="preserve"> (PHIS)</w:t>
      </w:r>
      <w:r w:rsidRPr="003714C4">
        <w:rPr>
          <w:rFonts w:cstheme="minorHAnsi"/>
          <w:szCs w:val="24"/>
        </w:rPr>
        <w:t xml:space="preserve"> no Brasil </w:t>
      </w:r>
      <w:r>
        <w:rPr>
          <w:rFonts w:cstheme="minorHAnsi"/>
          <w:szCs w:val="24"/>
        </w:rPr>
        <w:t>num contexto d</w:t>
      </w:r>
      <w:r w:rsidR="00F4664F">
        <w:rPr>
          <w:rFonts w:cstheme="minorHAnsi"/>
          <w:szCs w:val="24"/>
        </w:rPr>
        <w:t>a</w:t>
      </w:r>
      <w:r>
        <w:rPr>
          <w:rFonts w:cstheme="minorHAnsi"/>
          <w:szCs w:val="24"/>
        </w:rPr>
        <w:t xml:space="preserve"> mercantilização da produção habitacional</w:t>
      </w:r>
      <w:r w:rsidR="00F4664F">
        <w:rPr>
          <w:rFonts w:cstheme="minorHAnsi"/>
          <w:szCs w:val="24"/>
        </w:rPr>
        <w:t xml:space="preserve"> adotado pelo Programa Minha Casa Minha Vida (PMCMV)</w:t>
      </w:r>
      <w:r w:rsidRPr="003714C4">
        <w:rPr>
          <w:rFonts w:cstheme="minorHAnsi"/>
          <w:szCs w:val="24"/>
        </w:rPr>
        <w:t>. A partir de uma revisão de literatura sobre o tema e consultas</w:t>
      </w:r>
      <w:r>
        <w:rPr>
          <w:rFonts w:cstheme="minorHAnsi"/>
          <w:szCs w:val="24"/>
        </w:rPr>
        <w:t xml:space="preserve"> aos jornais na web, visita</w:t>
      </w:r>
      <w:r w:rsidRPr="003714C4">
        <w:rPr>
          <w:rFonts w:cstheme="minorHAnsi"/>
          <w:szCs w:val="24"/>
        </w:rPr>
        <w:t xml:space="preserve"> aos sites oficiais do gove</w:t>
      </w:r>
      <w:r>
        <w:rPr>
          <w:rFonts w:cstheme="minorHAnsi"/>
          <w:szCs w:val="24"/>
        </w:rPr>
        <w:t xml:space="preserve">rno, foi possível verificar a </w:t>
      </w:r>
      <w:r w:rsidR="00254D3C">
        <w:rPr>
          <w:rFonts w:cstheme="minorHAnsi"/>
          <w:szCs w:val="24"/>
        </w:rPr>
        <w:t>ineficácia da política</w:t>
      </w:r>
      <w:r>
        <w:rPr>
          <w:rFonts w:cstheme="minorHAnsi"/>
          <w:szCs w:val="24"/>
        </w:rPr>
        <w:t xml:space="preserve"> para a efetivação do direito à moradia adequada conforme consta </w:t>
      </w:r>
      <w:r w:rsidR="00254D3C">
        <w:rPr>
          <w:rFonts w:cstheme="minorHAnsi"/>
          <w:szCs w:val="24"/>
        </w:rPr>
        <w:t>n</w:t>
      </w:r>
      <w:r>
        <w:rPr>
          <w:rFonts w:cstheme="minorHAnsi"/>
          <w:szCs w:val="24"/>
        </w:rPr>
        <w:t xml:space="preserve">a </w:t>
      </w:r>
      <w:r w:rsidRPr="002D6D7E">
        <w:rPr>
          <w:rFonts w:cstheme="minorHAnsi"/>
          <w:szCs w:val="24"/>
        </w:rPr>
        <w:t>emenda constitucional 26/2000</w:t>
      </w:r>
      <w:r w:rsidR="002F1D31">
        <w:rPr>
          <w:rFonts w:cstheme="minorHAnsi"/>
          <w:szCs w:val="24"/>
        </w:rPr>
        <w:t xml:space="preserve">, pois </w:t>
      </w:r>
      <w:r w:rsidRPr="003714C4">
        <w:rPr>
          <w:rFonts w:cstheme="minorHAnsi"/>
          <w:szCs w:val="24"/>
        </w:rPr>
        <w:t xml:space="preserve">a maior parte da provisão habitacional de interesse social no Brasil passou a atuar fora do marco do </w:t>
      </w:r>
      <w:r w:rsidR="00254D3C">
        <w:rPr>
          <w:rFonts w:cstheme="minorHAnsi"/>
          <w:szCs w:val="24"/>
        </w:rPr>
        <w:t>Fundo Nacional de Habitação Social (</w:t>
      </w:r>
      <w:r w:rsidRPr="003714C4">
        <w:rPr>
          <w:rFonts w:cstheme="minorHAnsi"/>
          <w:szCs w:val="24"/>
        </w:rPr>
        <w:t>FNHIS</w:t>
      </w:r>
      <w:r w:rsidR="00254D3C">
        <w:rPr>
          <w:rFonts w:cstheme="minorHAnsi"/>
          <w:szCs w:val="24"/>
        </w:rPr>
        <w:t xml:space="preserve">), </w:t>
      </w:r>
      <w:r w:rsidRPr="003714C4">
        <w:rPr>
          <w:rFonts w:cstheme="minorHAnsi"/>
          <w:szCs w:val="24"/>
        </w:rPr>
        <w:t xml:space="preserve">colocando em segundo plano, como orientador da política habitacional para as famílias de mais baixa renda, </w:t>
      </w:r>
      <w:r w:rsidR="00254D3C">
        <w:rPr>
          <w:rFonts w:cstheme="minorHAnsi"/>
          <w:szCs w:val="24"/>
        </w:rPr>
        <w:t xml:space="preserve">o Sistema Nacional de Habitação de Interesse Social (SNHIS) e </w:t>
      </w:r>
      <w:r w:rsidRPr="003714C4">
        <w:rPr>
          <w:rFonts w:cstheme="minorHAnsi"/>
          <w:szCs w:val="24"/>
        </w:rPr>
        <w:t xml:space="preserve">o Plano Nacional de Habitação (PlanHab). </w:t>
      </w:r>
      <w:r w:rsidR="00014818">
        <w:rPr>
          <w:rFonts w:cstheme="minorHAnsi"/>
          <w:szCs w:val="24"/>
        </w:rPr>
        <w:t xml:space="preserve">Assim, os beneficiários </w:t>
      </w:r>
      <w:r w:rsidR="00E002E7">
        <w:rPr>
          <w:rFonts w:cstheme="minorHAnsi"/>
          <w:szCs w:val="24"/>
        </w:rPr>
        <w:t xml:space="preserve">dos </w:t>
      </w:r>
      <w:r w:rsidR="00014818">
        <w:rPr>
          <w:rFonts w:cstheme="minorHAnsi"/>
          <w:szCs w:val="24"/>
        </w:rPr>
        <w:t>empreendimentos da habitação de interesse social (HIS) produzidos pelo (PMCMV), atualmente sofrem, dentre outros fatores, com a má localização, a distância dos mercados de trabalho e a insegurança pública</w:t>
      </w:r>
      <w:r w:rsidR="00126CD1">
        <w:rPr>
          <w:rFonts w:cstheme="minorHAnsi"/>
          <w:szCs w:val="24"/>
        </w:rPr>
        <w:t xml:space="preserve"> (BONDUKI apud COSTA,</w:t>
      </w:r>
      <w:r w:rsidR="00DC783C">
        <w:rPr>
          <w:rFonts w:cstheme="minorHAnsi"/>
          <w:szCs w:val="24"/>
        </w:rPr>
        <w:t xml:space="preserve"> 20</w:t>
      </w:r>
      <w:r w:rsidR="00126CD1">
        <w:rPr>
          <w:rFonts w:cstheme="minorHAnsi"/>
          <w:szCs w:val="24"/>
        </w:rPr>
        <w:t>14</w:t>
      </w:r>
      <w:r w:rsidR="00DC783C">
        <w:rPr>
          <w:rFonts w:cstheme="minorHAnsi"/>
          <w:szCs w:val="24"/>
        </w:rPr>
        <w:t>)</w:t>
      </w:r>
      <w:r w:rsidR="00014818">
        <w:rPr>
          <w:rFonts w:cstheme="minorHAnsi"/>
          <w:szCs w:val="24"/>
        </w:rPr>
        <w:t>.</w:t>
      </w:r>
      <w:r w:rsidR="002F1D31">
        <w:rPr>
          <w:rFonts w:cstheme="minorHAnsi"/>
          <w:szCs w:val="24"/>
        </w:rPr>
        <w:t xml:space="preserve"> </w:t>
      </w:r>
    </w:p>
    <w:p w:rsidR="00A13548" w:rsidRPr="003714C4" w:rsidRDefault="00A13548" w:rsidP="00A13548">
      <w:pPr>
        <w:spacing w:after="0" w:line="240" w:lineRule="auto"/>
        <w:ind w:firstLine="567"/>
        <w:jc w:val="both"/>
        <w:rPr>
          <w:rFonts w:cstheme="minorHAnsi"/>
          <w:szCs w:val="24"/>
        </w:rPr>
      </w:pPr>
    </w:p>
    <w:p w:rsidR="00A13548" w:rsidRDefault="00A13548" w:rsidP="00414393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POLÍTICA HABITACIONAL</w:t>
      </w:r>
      <w:r w:rsidRPr="003714C4">
        <w:rPr>
          <w:rFonts w:cstheme="minorHAnsi"/>
          <w:sz w:val="24"/>
          <w:szCs w:val="24"/>
        </w:rPr>
        <w:t xml:space="preserve"> DE INTERESSE SOCIAL E O DIREITO À MORADIA ADEQUADA: limites e possibilidades.</w:t>
      </w:r>
    </w:p>
    <w:p w:rsidR="00A13548" w:rsidRPr="003714C4" w:rsidRDefault="00A13548" w:rsidP="00A13548">
      <w:pPr>
        <w:spacing w:after="0" w:line="240" w:lineRule="auto"/>
        <w:ind w:firstLine="567"/>
        <w:jc w:val="both"/>
        <w:rPr>
          <w:rFonts w:cstheme="minorHAnsi"/>
          <w:sz w:val="24"/>
          <w:szCs w:val="24"/>
        </w:rPr>
      </w:pPr>
    </w:p>
    <w:p w:rsidR="00A13548" w:rsidRDefault="00A13548" w:rsidP="00A13548">
      <w:pPr>
        <w:widowControl w:val="0"/>
        <w:tabs>
          <w:tab w:val="left" w:pos="6521"/>
        </w:tabs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cstheme="minorHAnsi"/>
        </w:rPr>
      </w:pPr>
      <w:r>
        <w:rPr>
          <w:rFonts w:cstheme="minorHAnsi"/>
        </w:rPr>
        <w:t xml:space="preserve">Segundo o art. 25 da </w:t>
      </w:r>
      <w:r w:rsidRPr="00756236">
        <w:rPr>
          <w:rFonts w:cstheme="minorHAnsi"/>
        </w:rPr>
        <w:t>Declaração Univer</w:t>
      </w:r>
      <w:r>
        <w:rPr>
          <w:rFonts w:cstheme="minorHAnsi"/>
        </w:rPr>
        <w:t xml:space="preserve">sal dos </w:t>
      </w:r>
      <w:r w:rsidRPr="00D14804">
        <w:rPr>
          <w:rFonts w:cstheme="minorHAnsi"/>
        </w:rPr>
        <w:t>Direitos Humanos (1948)</w:t>
      </w:r>
      <w:r>
        <w:rPr>
          <w:rFonts w:cstheme="minorHAnsi"/>
        </w:rPr>
        <w:t>,</w:t>
      </w:r>
      <w:r w:rsidRPr="00D14804">
        <w:rPr>
          <w:rFonts w:cstheme="minorHAnsi"/>
        </w:rPr>
        <w:t xml:space="preserve"> </w:t>
      </w:r>
      <w:r>
        <w:rPr>
          <w:rFonts w:cstheme="minorHAnsi"/>
        </w:rPr>
        <w:t>o direito à moradia é considerado um direito humano fundamental:</w:t>
      </w:r>
    </w:p>
    <w:p w:rsidR="00A13548" w:rsidRDefault="00A13548" w:rsidP="00A13548">
      <w:pPr>
        <w:widowControl w:val="0"/>
        <w:tabs>
          <w:tab w:val="left" w:pos="6521"/>
        </w:tabs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cstheme="minorHAnsi"/>
        </w:rPr>
      </w:pPr>
    </w:p>
    <w:p w:rsidR="00A13548" w:rsidRPr="00D14804" w:rsidRDefault="00A13548" w:rsidP="00A135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35"/>
        <w:jc w:val="both"/>
        <w:rPr>
          <w:rFonts w:cstheme="minorHAnsi"/>
          <w:sz w:val="20"/>
        </w:rPr>
      </w:pPr>
      <w:r w:rsidRPr="00D14804">
        <w:rPr>
          <w:rFonts w:cstheme="minorHAnsi"/>
          <w:sz w:val="20"/>
        </w:rPr>
        <w:t>Toda pessoa tem direito a um padrão de vida capaz de assegurar a si e à sua família saúde e bem-estar, inclusive alimentação, vestuário, habitação, cuidados médicos e os serviços sociais indispensáveis, e direito à segurança em caso de desemprego, doença, invalidez, viuvez, velhice ou outros casos de perda dos meios de subsistência em circunstâncias fora de seu controle.</w:t>
      </w:r>
    </w:p>
    <w:p w:rsidR="00A13548" w:rsidRDefault="00A13548" w:rsidP="00A13548">
      <w:pPr>
        <w:widowControl w:val="0"/>
        <w:tabs>
          <w:tab w:val="left" w:pos="6521"/>
        </w:tabs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cstheme="minorHAnsi"/>
        </w:rPr>
      </w:pPr>
    </w:p>
    <w:p w:rsidR="00262CA5" w:rsidRDefault="00FB13F2" w:rsidP="00A135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cstheme="minorHAnsi"/>
        </w:rPr>
      </w:pPr>
      <w:r>
        <w:rPr>
          <w:rFonts w:cstheme="minorHAnsi"/>
        </w:rPr>
        <w:t xml:space="preserve">No Brasil, o </w:t>
      </w:r>
      <w:r w:rsidRPr="007E4F3E">
        <w:rPr>
          <w:rFonts w:cstheme="minorHAnsi"/>
        </w:rPr>
        <w:t>direito à moradia foi reconhecido como um direito fundamental no ano de 2000, por meio da Emenda Constitucional 26/2000</w:t>
      </w:r>
      <w:r>
        <w:rPr>
          <w:rFonts w:cstheme="minorHAnsi"/>
        </w:rPr>
        <w:t>. Em</w:t>
      </w:r>
      <w:r w:rsidR="002F1D31" w:rsidRPr="003714C4">
        <w:rPr>
          <w:rFonts w:cstheme="minorHAnsi"/>
        </w:rPr>
        <w:t xml:space="preserve"> 2004, o governo brasileiro aprovou a Política Nacional de Habitação (PNH</w:t>
      </w:r>
      <w:r w:rsidR="002F1D31">
        <w:rPr>
          <w:rFonts w:cstheme="minorHAnsi"/>
        </w:rPr>
        <w:t>) que é</w:t>
      </w:r>
      <w:r w:rsidR="00A13548" w:rsidRPr="003714C4">
        <w:rPr>
          <w:rFonts w:cstheme="minorHAnsi"/>
        </w:rPr>
        <w:t xml:space="preserve"> viabilizada</w:t>
      </w:r>
      <w:r w:rsidR="00A13548">
        <w:rPr>
          <w:rFonts w:cstheme="minorHAnsi"/>
        </w:rPr>
        <w:t>, dentre outros mecanismos institucionais,</w:t>
      </w:r>
      <w:r w:rsidR="00A13548" w:rsidRPr="003714C4">
        <w:rPr>
          <w:rFonts w:cstheme="minorHAnsi"/>
        </w:rPr>
        <w:t xml:space="preserve"> por meio do Sistema Nacional da Habitação (SNH)</w:t>
      </w:r>
      <w:r>
        <w:rPr>
          <w:rFonts w:cstheme="minorHAnsi"/>
        </w:rPr>
        <w:t xml:space="preserve">, o qual se divide em </w:t>
      </w:r>
      <w:r w:rsidR="00A13548" w:rsidRPr="003714C4">
        <w:rPr>
          <w:rFonts w:cstheme="minorHAnsi"/>
        </w:rPr>
        <w:t>Sistema Nacional de Habitação de Interesse Social - SNHIS, voltado à população com renda entre 0 a 5 s.m, e em Sistema de Habitação de Mercado</w:t>
      </w:r>
      <w:r>
        <w:rPr>
          <w:rFonts w:cstheme="minorHAnsi"/>
        </w:rPr>
        <w:t xml:space="preserve"> (SHM)</w:t>
      </w:r>
      <w:r w:rsidR="00A13548" w:rsidRPr="003714C4">
        <w:rPr>
          <w:rFonts w:cstheme="minorHAnsi"/>
        </w:rPr>
        <w:t>, que atende, principalmente, às classes de renda entre 5 a 10 s.m (Bonduki et. al., 2009).</w:t>
      </w:r>
      <w:r w:rsidR="00A13548">
        <w:rPr>
          <w:rFonts w:cstheme="minorHAnsi"/>
        </w:rPr>
        <w:t xml:space="preserve"> </w:t>
      </w:r>
      <w:r w:rsidR="00216742" w:rsidRPr="003714C4">
        <w:rPr>
          <w:rFonts w:cstheme="minorHAnsi"/>
        </w:rPr>
        <w:t xml:space="preserve">O </w:t>
      </w:r>
      <w:r w:rsidR="00262CA5">
        <w:rPr>
          <w:rFonts w:cstheme="minorHAnsi"/>
        </w:rPr>
        <w:t>SHM</w:t>
      </w:r>
      <w:r w:rsidR="00216742" w:rsidRPr="003714C4">
        <w:rPr>
          <w:rFonts w:cstheme="minorHAnsi"/>
        </w:rPr>
        <w:t xml:space="preserve"> </w:t>
      </w:r>
      <w:r w:rsidR="001A06A5">
        <w:rPr>
          <w:rFonts w:cstheme="minorHAnsi"/>
        </w:rPr>
        <w:t xml:space="preserve">é financiado por meio </w:t>
      </w:r>
      <w:r w:rsidR="00216742" w:rsidRPr="003714C4">
        <w:rPr>
          <w:rFonts w:cstheme="minorHAnsi"/>
        </w:rPr>
        <w:t>das Cadernetas de Poupança (SBPE), de Consórcios Habitacionais, de Certificados de Recebíveis Imobiliários e demais investimentos institucionais e de pessoas físicas (B</w:t>
      </w:r>
      <w:r w:rsidR="00262CA5" w:rsidRPr="003714C4">
        <w:rPr>
          <w:rFonts w:cstheme="minorHAnsi"/>
        </w:rPr>
        <w:t>rasil</w:t>
      </w:r>
      <w:r w:rsidR="00216742" w:rsidRPr="003714C4">
        <w:rPr>
          <w:rFonts w:cstheme="minorHAnsi"/>
        </w:rPr>
        <w:t xml:space="preserve">, 2011). </w:t>
      </w:r>
      <w:r w:rsidR="00216742">
        <w:rPr>
          <w:rFonts w:cstheme="minorHAnsi"/>
        </w:rPr>
        <w:t xml:space="preserve">Já o SNHIS </w:t>
      </w:r>
      <w:r w:rsidR="001A06A5">
        <w:rPr>
          <w:rFonts w:cstheme="minorHAnsi"/>
        </w:rPr>
        <w:t>é financiado</w:t>
      </w:r>
      <w:r w:rsidR="00262CA5">
        <w:rPr>
          <w:rFonts w:cstheme="minorHAnsi"/>
        </w:rPr>
        <w:t xml:space="preserve"> através do</w:t>
      </w:r>
      <w:r w:rsidR="00A13548" w:rsidRPr="003714C4">
        <w:rPr>
          <w:rFonts w:cstheme="minorHAnsi"/>
        </w:rPr>
        <w:t xml:space="preserve"> FNHIS</w:t>
      </w:r>
      <w:r w:rsidR="001A06A5">
        <w:rPr>
          <w:rFonts w:cstheme="minorHAnsi"/>
        </w:rPr>
        <w:t xml:space="preserve"> </w:t>
      </w:r>
      <w:r w:rsidR="00A13548" w:rsidRPr="003714C4">
        <w:rPr>
          <w:rFonts w:cstheme="minorHAnsi"/>
        </w:rPr>
        <w:t>(A</w:t>
      </w:r>
      <w:r w:rsidR="00262CA5" w:rsidRPr="003714C4">
        <w:rPr>
          <w:rFonts w:cstheme="minorHAnsi"/>
        </w:rPr>
        <w:t>GUIAR</w:t>
      </w:r>
      <w:r w:rsidR="00A13548" w:rsidRPr="003714C4">
        <w:rPr>
          <w:rFonts w:cstheme="minorHAnsi"/>
        </w:rPr>
        <w:t>, 2012).</w:t>
      </w:r>
      <w:r w:rsidR="00262CA5">
        <w:rPr>
          <w:rFonts w:cstheme="minorHAnsi"/>
        </w:rPr>
        <w:t xml:space="preserve"> </w:t>
      </w:r>
    </w:p>
    <w:p w:rsidR="00A13548" w:rsidRDefault="001A06A5" w:rsidP="00262C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cstheme="minorHAnsi"/>
        </w:rPr>
      </w:pPr>
      <w:r>
        <w:rPr>
          <w:rFonts w:cstheme="minorHAnsi"/>
        </w:rPr>
        <w:t>Excepcionalmente</w:t>
      </w:r>
      <w:r w:rsidR="00262CA5">
        <w:rPr>
          <w:rFonts w:cstheme="minorHAnsi"/>
        </w:rPr>
        <w:t xml:space="preserve">, </w:t>
      </w:r>
      <w:r w:rsidR="00A13548">
        <w:rPr>
          <w:rFonts w:cstheme="minorHAnsi"/>
        </w:rPr>
        <w:t xml:space="preserve">com o lançamento do </w:t>
      </w:r>
      <w:r w:rsidR="00A13548" w:rsidRPr="003714C4">
        <w:rPr>
          <w:rFonts w:cstheme="minorHAnsi"/>
        </w:rPr>
        <w:t xml:space="preserve">Programa de </w:t>
      </w:r>
      <w:r w:rsidR="00A13548">
        <w:rPr>
          <w:rFonts w:cstheme="minorHAnsi"/>
        </w:rPr>
        <w:t>Aceleração do Crescimento (PAC)</w:t>
      </w:r>
      <w:r w:rsidR="00262CA5">
        <w:rPr>
          <w:rFonts w:cstheme="minorHAnsi"/>
        </w:rPr>
        <w:t>,</w:t>
      </w:r>
      <w:r w:rsidR="00A13548">
        <w:rPr>
          <w:rFonts w:cstheme="minorHAnsi"/>
        </w:rPr>
        <w:t xml:space="preserve"> em 2007</w:t>
      </w:r>
      <w:r w:rsidR="00262CA5">
        <w:rPr>
          <w:rFonts w:cstheme="minorHAnsi"/>
        </w:rPr>
        <w:t>, parte considerável</w:t>
      </w:r>
      <w:r w:rsidR="00910950">
        <w:rPr>
          <w:rFonts w:cstheme="minorHAnsi"/>
        </w:rPr>
        <w:t xml:space="preserve"> dos recursos do FNHIS </w:t>
      </w:r>
      <w:r w:rsidR="00262CA5">
        <w:rPr>
          <w:rFonts w:cstheme="minorHAnsi"/>
        </w:rPr>
        <w:t>foram desviados</w:t>
      </w:r>
      <w:r w:rsidR="00A13548">
        <w:rPr>
          <w:rFonts w:cstheme="minorHAnsi"/>
        </w:rPr>
        <w:t xml:space="preserve"> da produção social da moradia.</w:t>
      </w:r>
      <w:r w:rsidR="00262CA5">
        <w:rPr>
          <w:rFonts w:cstheme="minorHAnsi"/>
        </w:rPr>
        <w:t xml:space="preserve"> </w:t>
      </w:r>
      <w:r w:rsidR="00A13548" w:rsidRPr="006602CB">
        <w:rPr>
          <w:rFonts w:cstheme="minorHAnsi"/>
        </w:rPr>
        <w:t>Segundo</w:t>
      </w:r>
      <w:r>
        <w:rPr>
          <w:rFonts w:cstheme="minorHAnsi"/>
        </w:rPr>
        <w:t xml:space="preserve"> </w:t>
      </w:r>
      <w:r w:rsidRPr="00116982">
        <w:rPr>
          <w:rFonts w:cstheme="minorHAnsi"/>
        </w:rPr>
        <w:t xml:space="preserve">o </w:t>
      </w:r>
      <w:r>
        <w:rPr>
          <w:rFonts w:cstheme="minorHAnsi"/>
        </w:rPr>
        <w:t>Relatório de Gestão de 2009</w:t>
      </w:r>
      <w:r w:rsidRPr="00116982">
        <w:rPr>
          <w:rFonts w:cstheme="minorHAnsi"/>
        </w:rPr>
        <w:t xml:space="preserve"> do FNHIS</w:t>
      </w:r>
      <w:r>
        <w:rPr>
          <w:rFonts w:cstheme="minorHAnsi"/>
        </w:rPr>
        <w:t xml:space="preserve"> apresentado por</w:t>
      </w:r>
      <w:r w:rsidR="00A13548" w:rsidRPr="006602CB">
        <w:rPr>
          <w:rFonts w:cstheme="minorHAnsi"/>
        </w:rPr>
        <w:t xml:space="preserve"> Krause, et. al. </w:t>
      </w:r>
      <w:r w:rsidR="00293CFC">
        <w:rPr>
          <w:rFonts w:cstheme="minorHAnsi"/>
        </w:rPr>
        <w:t>Apud COSTA (2014a)</w:t>
      </w:r>
      <w:r w:rsidR="00A13548" w:rsidRPr="00116982">
        <w:rPr>
          <w:rFonts w:cstheme="minorHAnsi"/>
        </w:rPr>
        <w:t xml:space="preserve">, R$ 550,26 milhões – aproximadamente 42% dos recursos do FNHIS – </w:t>
      </w:r>
      <w:r>
        <w:rPr>
          <w:rFonts w:cstheme="minorHAnsi"/>
        </w:rPr>
        <w:t xml:space="preserve">foram usados </w:t>
      </w:r>
      <w:r w:rsidR="00A13548" w:rsidRPr="00116982">
        <w:rPr>
          <w:rFonts w:cstheme="minorHAnsi"/>
        </w:rPr>
        <w:t>para complementação de obras inseridas no PAC</w:t>
      </w:r>
      <w:r>
        <w:rPr>
          <w:rFonts w:cstheme="minorHAnsi"/>
        </w:rPr>
        <w:t xml:space="preserve">, tais como a </w:t>
      </w:r>
      <w:r w:rsidRPr="003714C4">
        <w:rPr>
          <w:rFonts w:cstheme="minorHAnsi"/>
        </w:rPr>
        <w:t>urbanização, regularização fundiária e integr</w:t>
      </w:r>
      <w:r>
        <w:rPr>
          <w:rFonts w:cstheme="minorHAnsi"/>
        </w:rPr>
        <w:t xml:space="preserve">ação de assentamentos precários. O </w:t>
      </w:r>
      <w:r w:rsidR="00216742">
        <w:rPr>
          <w:rFonts w:cstheme="minorHAnsi"/>
        </w:rPr>
        <w:t xml:space="preserve">quadro </w:t>
      </w:r>
      <w:r>
        <w:rPr>
          <w:rFonts w:cstheme="minorHAnsi"/>
        </w:rPr>
        <w:t>1</w:t>
      </w:r>
      <w:r w:rsidR="00A13548" w:rsidRPr="003714C4">
        <w:rPr>
          <w:rFonts w:cstheme="minorHAnsi"/>
        </w:rPr>
        <w:t xml:space="preserve"> mostra a evolução dos gastos do governo federal nos anos </w:t>
      </w:r>
      <w:r>
        <w:rPr>
          <w:rFonts w:cstheme="minorHAnsi"/>
        </w:rPr>
        <w:t>compreendidos entre 2005 e 2010.</w:t>
      </w:r>
      <w:r w:rsidR="00A13548" w:rsidRPr="003714C4">
        <w:rPr>
          <w:rFonts w:cstheme="minorHAnsi"/>
        </w:rPr>
        <w:t xml:space="preserve"> </w:t>
      </w:r>
    </w:p>
    <w:p w:rsidR="00F07726" w:rsidRPr="00607F0A" w:rsidRDefault="00F07726" w:rsidP="00F0772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cstheme="minorHAnsi"/>
        </w:rPr>
      </w:pPr>
      <w:r>
        <w:rPr>
          <w:rFonts w:cstheme="minorHAnsi"/>
        </w:rPr>
        <w:t>O modelo adotado pela</w:t>
      </w:r>
      <w:r w:rsidRPr="003714C4">
        <w:rPr>
          <w:rFonts w:cstheme="minorHAnsi"/>
        </w:rPr>
        <w:t xml:space="preserve"> </w:t>
      </w:r>
      <w:r>
        <w:rPr>
          <w:rFonts w:cstheme="minorHAnsi"/>
        </w:rPr>
        <w:t>PHIS</w:t>
      </w:r>
      <w:r w:rsidRPr="003714C4">
        <w:rPr>
          <w:rFonts w:cstheme="minorHAnsi"/>
        </w:rPr>
        <w:t xml:space="preserve"> </w:t>
      </w:r>
      <w:r>
        <w:rPr>
          <w:rFonts w:cstheme="minorHAnsi"/>
        </w:rPr>
        <w:t xml:space="preserve">pelo PMCMV, além disso, vem </w:t>
      </w:r>
      <w:r w:rsidR="00910950">
        <w:rPr>
          <w:rFonts w:cstheme="minorHAnsi"/>
        </w:rPr>
        <w:t>contribuindo</w:t>
      </w:r>
      <w:r>
        <w:rPr>
          <w:rFonts w:cstheme="minorHAnsi"/>
        </w:rPr>
        <w:t xml:space="preserve"> para </w:t>
      </w:r>
      <w:r w:rsidRPr="00742CC3">
        <w:rPr>
          <w:rFonts w:cstheme="minorHAnsi"/>
        </w:rPr>
        <w:t xml:space="preserve">a construção de </w:t>
      </w:r>
      <w:r>
        <w:rPr>
          <w:rFonts w:cstheme="minorHAnsi"/>
        </w:rPr>
        <w:t xml:space="preserve">moradias sem </w:t>
      </w:r>
      <w:r>
        <w:rPr>
          <w:rFonts w:cstheme="minorHAnsi"/>
        </w:rPr>
        <w:lastRenderedPageBreak/>
        <w:t xml:space="preserve">levar em consideração as </w:t>
      </w:r>
      <w:r w:rsidRPr="00742CC3">
        <w:rPr>
          <w:rFonts w:cstheme="minorHAnsi"/>
        </w:rPr>
        <w:t xml:space="preserve">diferenças regionais </w:t>
      </w:r>
      <w:r>
        <w:rPr>
          <w:rFonts w:cstheme="minorHAnsi"/>
        </w:rPr>
        <w:t>d</w:t>
      </w:r>
      <w:r w:rsidRPr="00742CC3">
        <w:rPr>
          <w:rFonts w:cstheme="minorHAnsi"/>
        </w:rPr>
        <w:t>o território brasileiro</w:t>
      </w:r>
      <w:r>
        <w:rPr>
          <w:rFonts w:cstheme="minorHAnsi"/>
        </w:rPr>
        <w:t xml:space="preserve">. </w:t>
      </w:r>
      <w:r w:rsidRPr="00D14804">
        <w:rPr>
          <w:rFonts w:cstheme="minorHAnsi"/>
        </w:rPr>
        <w:t xml:space="preserve">Por </w:t>
      </w:r>
      <w:r>
        <w:rPr>
          <w:rFonts w:cstheme="minorHAnsi"/>
        </w:rPr>
        <w:t>exemplo, n</w:t>
      </w:r>
      <w:r w:rsidRPr="00D14804">
        <w:rPr>
          <w:rFonts w:cs="Calibri"/>
        </w:rPr>
        <w:t xml:space="preserve">a Região Metropolitana de Natal (RN), </w:t>
      </w:r>
      <w:r>
        <w:rPr>
          <w:rFonts w:cs="Calibri"/>
        </w:rPr>
        <w:t xml:space="preserve">o produto habitacional para </w:t>
      </w:r>
      <w:r w:rsidRPr="00D14804">
        <w:rPr>
          <w:rFonts w:cs="Calibri"/>
        </w:rPr>
        <w:t xml:space="preserve">os beneficiários do </w:t>
      </w:r>
      <w:r>
        <w:rPr>
          <w:rFonts w:cs="Calibri"/>
        </w:rPr>
        <w:t>PMCMV</w:t>
      </w:r>
      <w:r w:rsidRPr="00D14804">
        <w:rPr>
          <w:rFonts w:cs="Calibri"/>
        </w:rPr>
        <w:t xml:space="preserve"> que auferem renda mensal </w:t>
      </w:r>
      <w:r w:rsidRPr="00D14804">
        <w:rPr>
          <w:rFonts w:cs="Calibri"/>
          <w:shd w:val="clear" w:color="auto" w:fill="FFFFFF"/>
        </w:rPr>
        <w:t xml:space="preserve">até R$ 3.100,00 </w:t>
      </w:r>
      <w:r>
        <w:rPr>
          <w:rFonts w:cs="Calibri"/>
          <w:shd w:val="clear" w:color="auto" w:fill="FFFFFF"/>
        </w:rPr>
        <w:t xml:space="preserve">está construído num espaço urbano bem mais digno do que o da população que </w:t>
      </w:r>
      <w:r w:rsidRPr="00D14804">
        <w:rPr>
          <w:rFonts w:cs="Calibri"/>
          <w:shd w:val="clear" w:color="auto" w:fill="FFFFFF"/>
        </w:rPr>
        <w:t xml:space="preserve">recebe até R$ 1.600,00 (ver figura 1). </w:t>
      </w:r>
    </w:p>
    <w:p w:rsidR="00A13548" w:rsidRPr="003714C4" w:rsidRDefault="00F4664F" w:rsidP="00F466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</w:rPr>
        <w:t xml:space="preserve">Quadro </w:t>
      </w:r>
      <w:r w:rsidR="00DC783C">
        <w:rPr>
          <w:rFonts w:cstheme="minorHAnsi"/>
          <w:b/>
        </w:rPr>
        <w:t>1</w:t>
      </w:r>
      <w:r w:rsidR="00A13548" w:rsidRPr="003714C4">
        <w:rPr>
          <w:rFonts w:cstheme="minorHAnsi"/>
          <w:b/>
        </w:rPr>
        <w:t xml:space="preserve"> –</w:t>
      </w:r>
      <w:r w:rsidR="00A13548" w:rsidRPr="003714C4">
        <w:rPr>
          <w:rFonts w:cstheme="minorHAnsi"/>
          <w:b/>
          <w:bCs/>
        </w:rPr>
        <w:t xml:space="preserve"> Gastos Anuais com Urbanização, Regularização</w:t>
      </w:r>
    </w:p>
    <w:p w:rsidR="00A13548" w:rsidRPr="003714C4" w:rsidRDefault="00A13548" w:rsidP="00F466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3714C4">
        <w:rPr>
          <w:rFonts w:cstheme="minorHAnsi"/>
          <w:b/>
          <w:bCs/>
        </w:rPr>
        <w:t>Fundiária e Integração de Assentamentos Precários (</w:t>
      </w:r>
      <w:r w:rsidRPr="003714C4">
        <w:rPr>
          <w:rFonts w:cstheme="minorHAnsi"/>
          <w:b/>
        </w:rPr>
        <w:t>2005 – 2010)</w:t>
      </w:r>
    </w:p>
    <w:tbl>
      <w:tblPr>
        <w:tblStyle w:val="Tabelacomgrade"/>
        <w:tblW w:w="6095" w:type="dxa"/>
        <w:tblInd w:w="2235" w:type="dxa"/>
        <w:tblLayout w:type="fixed"/>
        <w:tblLook w:val="04A0" w:firstRow="1" w:lastRow="0" w:firstColumn="1" w:lastColumn="0" w:noHBand="0" w:noVBand="1"/>
      </w:tblPr>
      <w:tblGrid>
        <w:gridCol w:w="2976"/>
        <w:gridCol w:w="3119"/>
      </w:tblGrid>
      <w:tr w:rsidR="00A13548" w:rsidRPr="003714C4" w:rsidTr="00F4664F">
        <w:tc>
          <w:tcPr>
            <w:tcW w:w="2976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714C4">
              <w:rPr>
                <w:rFonts w:cstheme="minorHAnsi"/>
                <w:b/>
              </w:rPr>
              <w:t>Ano</w:t>
            </w:r>
          </w:p>
        </w:tc>
        <w:tc>
          <w:tcPr>
            <w:tcW w:w="3119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10"/>
              <w:jc w:val="right"/>
              <w:rPr>
                <w:rFonts w:cstheme="minorHAnsi"/>
                <w:b/>
              </w:rPr>
            </w:pPr>
            <w:r w:rsidRPr="003714C4">
              <w:rPr>
                <w:rFonts w:cstheme="minorHAnsi"/>
                <w:b/>
              </w:rPr>
              <w:t>R$</w:t>
            </w:r>
          </w:p>
        </w:tc>
      </w:tr>
      <w:tr w:rsidR="00A13548" w:rsidRPr="003714C4" w:rsidTr="00F4664F">
        <w:tc>
          <w:tcPr>
            <w:tcW w:w="2976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cstheme="minorHAnsi"/>
              </w:rPr>
            </w:pPr>
            <w:r w:rsidRPr="003714C4">
              <w:rPr>
                <w:rFonts w:cstheme="minorHAnsi"/>
              </w:rPr>
              <w:t>2005</w:t>
            </w:r>
          </w:p>
        </w:tc>
        <w:tc>
          <w:tcPr>
            <w:tcW w:w="3119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jc w:val="right"/>
              <w:rPr>
                <w:rFonts w:cstheme="minorHAnsi"/>
              </w:rPr>
            </w:pPr>
            <w:r w:rsidRPr="003714C4">
              <w:rPr>
                <w:rFonts w:cstheme="minorHAnsi"/>
              </w:rPr>
              <w:t>3.543.218,22</w:t>
            </w:r>
          </w:p>
        </w:tc>
      </w:tr>
      <w:tr w:rsidR="00A13548" w:rsidRPr="003714C4" w:rsidTr="00F4664F">
        <w:tc>
          <w:tcPr>
            <w:tcW w:w="2976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3714C4">
              <w:rPr>
                <w:rFonts w:cstheme="minorHAnsi"/>
              </w:rPr>
              <w:t>2006</w:t>
            </w:r>
          </w:p>
        </w:tc>
        <w:tc>
          <w:tcPr>
            <w:tcW w:w="3119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jc w:val="right"/>
              <w:rPr>
                <w:rFonts w:cstheme="minorHAnsi"/>
              </w:rPr>
            </w:pPr>
            <w:r w:rsidRPr="003714C4">
              <w:rPr>
                <w:rFonts w:cstheme="minorHAnsi"/>
              </w:rPr>
              <w:t>2.909.880,50</w:t>
            </w:r>
          </w:p>
        </w:tc>
      </w:tr>
      <w:tr w:rsidR="00A13548" w:rsidRPr="003714C4" w:rsidTr="00F4664F">
        <w:tc>
          <w:tcPr>
            <w:tcW w:w="2976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3714C4">
              <w:rPr>
                <w:rFonts w:cstheme="minorHAnsi"/>
              </w:rPr>
              <w:t>2007</w:t>
            </w:r>
          </w:p>
        </w:tc>
        <w:tc>
          <w:tcPr>
            <w:tcW w:w="3119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jc w:val="right"/>
              <w:rPr>
                <w:rFonts w:cstheme="minorHAnsi"/>
              </w:rPr>
            </w:pPr>
            <w:r w:rsidRPr="003714C4">
              <w:rPr>
                <w:rFonts w:cstheme="minorHAnsi"/>
              </w:rPr>
              <w:t>2.180.578,15</w:t>
            </w:r>
          </w:p>
        </w:tc>
      </w:tr>
      <w:tr w:rsidR="00A13548" w:rsidRPr="003714C4" w:rsidTr="00F4664F">
        <w:tc>
          <w:tcPr>
            <w:tcW w:w="2976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3714C4">
              <w:rPr>
                <w:rFonts w:cstheme="minorHAnsi"/>
              </w:rPr>
              <w:t>2008</w:t>
            </w:r>
          </w:p>
        </w:tc>
        <w:tc>
          <w:tcPr>
            <w:tcW w:w="3119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jc w:val="right"/>
              <w:rPr>
                <w:rFonts w:cstheme="minorHAnsi"/>
              </w:rPr>
            </w:pPr>
            <w:r w:rsidRPr="003714C4">
              <w:rPr>
                <w:rFonts w:cstheme="minorHAnsi"/>
              </w:rPr>
              <w:t>2.613.776,17</w:t>
            </w:r>
          </w:p>
        </w:tc>
      </w:tr>
      <w:tr w:rsidR="00A13548" w:rsidRPr="003714C4" w:rsidTr="00F4664F">
        <w:tc>
          <w:tcPr>
            <w:tcW w:w="2976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3714C4">
              <w:rPr>
                <w:rFonts w:cstheme="minorHAnsi"/>
              </w:rPr>
              <w:t>2009</w:t>
            </w:r>
          </w:p>
        </w:tc>
        <w:tc>
          <w:tcPr>
            <w:tcW w:w="3119" w:type="dxa"/>
          </w:tcPr>
          <w:p w:rsidR="00A13548" w:rsidRPr="003714C4" w:rsidRDefault="00A13548" w:rsidP="00F466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jc w:val="right"/>
              <w:rPr>
                <w:rFonts w:cstheme="minorHAnsi"/>
              </w:rPr>
            </w:pPr>
            <w:r w:rsidRPr="003714C4">
              <w:rPr>
                <w:rFonts w:cstheme="minorHAnsi"/>
              </w:rPr>
              <w:t>15.657.137,48</w:t>
            </w:r>
          </w:p>
        </w:tc>
      </w:tr>
      <w:tr w:rsidR="00A13548" w:rsidRPr="003714C4" w:rsidTr="00F4664F">
        <w:tc>
          <w:tcPr>
            <w:tcW w:w="2976" w:type="dxa"/>
          </w:tcPr>
          <w:p w:rsidR="00A13548" w:rsidRPr="003714C4" w:rsidRDefault="00A13548" w:rsidP="00F4664F">
            <w:pPr>
              <w:spacing w:after="0" w:line="240" w:lineRule="auto"/>
              <w:jc w:val="center"/>
              <w:rPr>
                <w:rFonts w:cstheme="minorHAnsi"/>
              </w:rPr>
            </w:pPr>
            <w:r w:rsidRPr="003714C4">
              <w:rPr>
                <w:rFonts w:cstheme="minorHAnsi"/>
              </w:rPr>
              <w:t>2010</w:t>
            </w:r>
          </w:p>
        </w:tc>
        <w:tc>
          <w:tcPr>
            <w:tcW w:w="3119" w:type="dxa"/>
          </w:tcPr>
          <w:p w:rsidR="00A13548" w:rsidRPr="003714C4" w:rsidRDefault="00A13548" w:rsidP="00F4664F">
            <w:pPr>
              <w:spacing w:after="0" w:line="240" w:lineRule="auto"/>
              <w:ind w:right="601"/>
              <w:jc w:val="right"/>
              <w:rPr>
                <w:rFonts w:cstheme="minorHAnsi"/>
                <w:b/>
              </w:rPr>
            </w:pPr>
            <w:r w:rsidRPr="003714C4">
              <w:rPr>
                <w:rFonts w:cstheme="minorHAnsi"/>
              </w:rPr>
              <w:t>14.473.173,31</w:t>
            </w:r>
          </w:p>
        </w:tc>
      </w:tr>
    </w:tbl>
    <w:p w:rsidR="00A13548" w:rsidRPr="003714C4" w:rsidRDefault="00A13548" w:rsidP="00F466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127"/>
        <w:rPr>
          <w:rFonts w:cstheme="minorHAnsi"/>
        </w:rPr>
      </w:pPr>
      <w:r w:rsidRPr="00F4664F">
        <w:rPr>
          <w:rFonts w:cstheme="minorHAnsi"/>
          <w:sz w:val="20"/>
        </w:rPr>
        <w:t xml:space="preserve">Fonte: </w:t>
      </w:r>
      <w:hyperlink r:id="rId13" w:history="1">
        <w:r w:rsidRPr="00F4664F">
          <w:rPr>
            <w:rStyle w:val="Hyperlink"/>
            <w:rFonts w:cstheme="minorHAnsi"/>
            <w:sz w:val="20"/>
          </w:rPr>
          <w:t>http://www.portaltransparencia.gov.br</w:t>
        </w:r>
      </w:hyperlink>
      <w:r w:rsidRPr="00F4664F">
        <w:rPr>
          <w:rFonts w:cstheme="minorHAnsi"/>
          <w:sz w:val="20"/>
        </w:rPr>
        <w:t>. Acesso em 01/03/2014</w:t>
      </w:r>
      <w:r w:rsidR="00F4664F">
        <w:rPr>
          <w:rFonts w:cstheme="minorHAnsi"/>
          <w:sz w:val="20"/>
        </w:rPr>
        <w:t>.</w:t>
      </w:r>
    </w:p>
    <w:p w:rsidR="00A13548" w:rsidRPr="003714C4" w:rsidRDefault="00A13548" w:rsidP="00F466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13548" w:rsidRPr="00D14804" w:rsidRDefault="00A13548" w:rsidP="00A135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cs="Calibri"/>
        </w:rPr>
      </w:pPr>
    </w:p>
    <w:p w:rsidR="00A13548" w:rsidRPr="00AC082E" w:rsidRDefault="00A13548" w:rsidP="00A13548">
      <w:pPr>
        <w:widowControl w:val="0"/>
        <w:tabs>
          <w:tab w:val="left" w:pos="568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</w:rPr>
      </w:pPr>
      <w:r w:rsidRPr="00AC082E">
        <w:rPr>
          <w:rFonts w:cs="Calibri"/>
          <w:b/>
          <w:sz w:val="20"/>
        </w:rPr>
        <w:t>Figura 1 – Empreendimentos do PMCMV1 na RMNatal por faixa de renda.</w:t>
      </w:r>
    </w:p>
    <w:p w:rsidR="00A13548" w:rsidRPr="00D355C2" w:rsidRDefault="00A13548" w:rsidP="00A13548">
      <w:pPr>
        <w:widowControl w:val="0"/>
        <w:tabs>
          <w:tab w:val="left" w:pos="568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</w:rPr>
      </w:pPr>
      <w:r w:rsidRPr="00D355C2">
        <w:rPr>
          <w:rFonts w:cs="Calibri"/>
          <w:noProof/>
          <w:sz w:val="20"/>
          <w:lang w:eastAsia="pt-BR"/>
        </w:rPr>
        <w:drawing>
          <wp:inline distT="0" distB="0" distL="0" distR="0">
            <wp:extent cx="5395595" cy="1525905"/>
            <wp:effectExtent l="19050" t="0" r="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5" cy="152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548" w:rsidRPr="00D355C2" w:rsidRDefault="00A13548" w:rsidP="00A13548">
      <w:pPr>
        <w:widowControl w:val="0"/>
        <w:tabs>
          <w:tab w:val="left" w:pos="568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</w:rPr>
      </w:pPr>
      <w:r w:rsidRPr="00D355C2">
        <w:rPr>
          <w:rFonts w:cs="Calibri"/>
          <w:sz w:val="20"/>
        </w:rPr>
        <w:t>Fonte: acervo da autora.</w:t>
      </w:r>
    </w:p>
    <w:p w:rsidR="00A13548" w:rsidRDefault="00A13548" w:rsidP="00A135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cstheme="minorHAnsi"/>
        </w:rPr>
      </w:pPr>
    </w:p>
    <w:p w:rsidR="00A13548" w:rsidRDefault="00A13548" w:rsidP="00A13548">
      <w:pPr>
        <w:spacing w:after="0" w:line="240" w:lineRule="auto"/>
        <w:ind w:firstLine="567"/>
        <w:jc w:val="both"/>
        <w:rPr>
          <w:rFonts w:cstheme="minorHAnsi"/>
        </w:rPr>
      </w:pPr>
    </w:p>
    <w:p w:rsidR="00A13548" w:rsidRPr="003714C4" w:rsidRDefault="00A13548" w:rsidP="00414393">
      <w:pPr>
        <w:spacing w:after="0" w:line="240" w:lineRule="auto"/>
        <w:jc w:val="both"/>
        <w:rPr>
          <w:rFonts w:cstheme="minorHAnsi"/>
          <w:b/>
        </w:rPr>
      </w:pPr>
      <w:r w:rsidRPr="003714C4">
        <w:rPr>
          <w:rFonts w:cstheme="minorHAnsi"/>
          <w:b/>
        </w:rPr>
        <w:t>CONSIDERAÇÕES FINAIS</w:t>
      </w:r>
    </w:p>
    <w:p w:rsidR="00A13548" w:rsidRPr="003714C4" w:rsidRDefault="00A13548" w:rsidP="00A13548">
      <w:pPr>
        <w:spacing w:after="0" w:line="240" w:lineRule="auto"/>
        <w:ind w:firstLine="567"/>
        <w:jc w:val="both"/>
        <w:rPr>
          <w:rFonts w:cstheme="minorHAnsi"/>
        </w:rPr>
      </w:pPr>
    </w:p>
    <w:p w:rsidR="00607F0A" w:rsidRDefault="00F85785" w:rsidP="00F8578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cstheme="minorHAnsi"/>
          <w:lang w:val="pt-PT"/>
        </w:rPr>
      </w:pPr>
      <w:r w:rsidRPr="003714C4">
        <w:rPr>
          <w:rFonts w:cstheme="minorHAnsi"/>
          <w:lang w:val="pt-PT"/>
        </w:rPr>
        <w:t>A</w:t>
      </w:r>
      <w:r>
        <w:rPr>
          <w:rFonts w:cstheme="minorHAnsi"/>
          <w:lang w:val="pt-PT"/>
        </w:rPr>
        <w:t xml:space="preserve"> fragilidade do modelo adotado pelo PMCMV para HIS no país se revela na medida em que a </w:t>
      </w:r>
      <w:r w:rsidRPr="003714C4">
        <w:rPr>
          <w:rFonts w:cstheme="minorHAnsi"/>
          <w:lang w:val="pt-PT"/>
        </w:rPr>
        <w:t xml:space="preserve">integração entre provisão habitacional e desenvolvimento econômico tem estimulado </w:t>
      </w:r>
      <w:r w:rsidR="00607F0A">
        <w:rPr>
          <w:rFonts w:cstheme="minorHAnsi"/>
          <w:lang w:val="pt-PT"/>
        </w:rPr>
        <w:t>o crescimento econômico através da apropriação de parte dos recursos do FNHIS</w:t>
      </w:r>
      <w:r w:rsidR="001A06A5">
        <w:rPr>
          <w:rFonts w:cstheme="minorHAnsi"/>
          <w:lang w:val="pt-PT"/>
        </w:rPr>
        <w:t xml:space="preserve"> e desconsidera</w:t>
      </w:r>
      <w:r w:rsidR="00607F0A">
        <w:rPr>
          <w:rFonts w:cstheme="minorHAnsi"/>
          <w:lang w:val="pt-PT"/>
        </w:rPr>
        <w:t xml:space="preserve">do os princípios norteadores do SNHIS. O resultado da política é a </w:t>
      </w:r>
      <w:r w:rsidR="001A06A5">
        <w:rPr>
          <w:rFonts w:cstheme="minorHAnsi"/>
          <w:lang w:val="pt-PT"/>
        </w:rPr>
        <w:t xml:space="preserve">violação </w:t>
      </w:r>
      <w:r w:rsidR="00F07726">
        <w:rPr>
          <w:rFonts w:cstheme="minorHAnsi"/>
          <w:lang w:val="pt-PT"/>
        </w:rPr>
        <w:t>aos direitos humanos</w:t>
      </w:r>
      <w:r w:rsidR="001A06A5">
        <w:rPr>
          <w:rFonts w:cstheme="minorHAnsi"/>
          <w:lang w:val="pt-PT"/>
        </w:rPr>
        <w:t xml:space="preserve"> e a </w:t>
      </w:r>
      <w:r w:rsidR="00607F0A">
        <w:rPr>
          <w:rFonts w:cstheme="minorHAnsi"/>
          <w:lang w:val="pt-PT"/>
        </w:rPr>
        <w:t>ampliação d</w:t>
      </w:r>
      <w:r w:rsidR="001A06A5">
        <w:rPr>
          <w:rFonts w:cstheme="minorHAnsi"/>
          <w:lang w:val="pt-PT"/>
        </w:rPr>
        <w:t>as desigualdades espaciais no país</w:t>
      </w:r>
      <w:r w:rsidR="00607F0A" w:rsidRPr="00607F0A">
        <w:rPr>
          <w:rFonts w:cstheme="minorHAnsi"/>
          <w:lang w:val="pt-PT"/>
        </w:rPr>
        <w:t>.</w:t>
      </w:r>
      <w:r w:rsidR="00607F0A">
        <w:rPr>
          <w:rFonts w:cstheme="minorHAnsi"/>
          <w:lang w:val="pt-PT"/>
        </w:rPr>
        <w:t xml:space="preserve"> </w:t>
      </w:r>
    </w:p>
    <w:p w:rsidR="00F85785" w:rsidRPr="00607F0A" w:rsidRDefault="00607F0A" w:rsidP="00607F0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cstheme="minorHAnsi"/>
          <w:lang w:val="pt-PT"/>
        </w:rPr>
      </w:pPr>
      <w:r>
        <w:rPr>
          <w:rFonts w:cstheme="minorHAnsi"/>
          <w:lang w:val="pt-PT"/>
        </w:rPr>
        <w:t>Em suma, a</w:t>
      </w:r>
      <w:r w:rsidR="00F85785" w:rsidRPr="003714C4">
        <w:rPr>
          <w:rFonts w:eastAsia="Times New Roman" w:cstheme="minorHAnsi"/>
          <w:lang w:eastAsia="pt-BR"/>
        </w:rPr>
        <w:t xml:space="preserve"> produção dos empreendimentos </w:t>
      </w:r>
      <w:r>
        <w:rPr>
          <w:rFonts w:eastAsia="Times New Roman" w:cstheme="minorHAnsi"/>
          <w:lang w:eastAsia="pt-BR"/>
        </w:rPr>
        <w:t xml:space="preserve">de HIS pelo PMCMV </w:t>
      </w:r>
      <w:r w:rsidR="00F85785" w:rsidRPr="003714C4">
        <w:rPr>
          <w:rFonts w:eastAsia="Times New Roman" w:cstheme="minorHAnsi"/>
          <w:lang w:eastAsia="pt-BR"/>
        </w:rPr>
        <w:t>em espaços periféricos é marcada pela exclusão das classes populares no processo de produção e de distribuição da riqueza social, prevalecendo, assim, suas precárias condições de sobrevivência, que por conseqüência, dificu</w:t>
      </w:r>
      <w:r w:rsidR="00F85785">
        <w:rPr>
          <w:rFonts w:eastAsia="Times New Roman" w:cstheme="minorHAnsi"/>
          <w:lang w:eastAsia="pt-BR"/>
        </w:rPr>
        <w:t>ltam a efetivação da redução do déficit habitacional e do cumprimento do direito à moradia adequada no país.</w:t>
      </w:r>
      <w:r w:rsidR="00F85785" w:rsidRPr="003714C4">
        <w:rPr>
          <w:rFonts w:eastAsia="Times New Roman" w:cstheme="minorHAnsi"/>
          <w:lang w:eastAsia="pt-BR"/>
        </w:rPr>
        <w:t xml:space="preserve"> </w:t>
      </w:r>
    </w:p>
    <w:p w:rsidR="00607F0A" w:rsidRDefault="00607F0A" w:rsidP="00A13548">
      <w:pPr>
        <w:tabs>
          <w:tab w:val="left" w:pos="2410"/>
        </w:tabs>
        <w:spacing w:after="0" w:line="240" w:lineRule="auto"/>
        <w:jc w:val="both"/>
        <w:rPr>
          <w:rFonts w:cstheme="minorHAnsi"/>
          <w:b/>
        </w:rPr>
      </w:pPr>
    </w:p>
    <w:p w:rsidR="00414393" w:rsidRDefault="00414393" w:rsidP="00A13548">
      <w:pPr>
        <w:tabs>
          <w:tab w:val="left" w:pos="2410"/>
        </w:tabs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AGRADECIMENTOS</w:t>
      </w:r>
    </w:p>
    <w:p w:rsidR="00414393" w:rsidRDefault="00414393" w:rsidP="00A13548">
      <w:pPr>
        <w:tabs>
          <w:tab w:val="left" w:pos="2410"/>
        </w:tabs>
        <w:spacing w:after="0" w:line="240" w:lineRule="auto"/>
        <w:jc w:val="both"/>
        <w:rPr>
          <w:rFonts w:cstheme="minorHAnsi"/>
          <w:b/>
        </w:rPr>
      </w:pPr>
    </w:p>
    <w:p w:rsidR="00414393" w:rsidRPr="00831F54" w:rsidRDefault="000B1BD8" w:rsidP="00414393">
      <w:pPr>
        <w:tabs>
          <w:tab w:val="left" w:pos="2410"/>
        </w:tabs>
        <w:spacing w:after="0" w:line="240" w:lineRule="auto"/>
        <w:ind w:firstLine="567"/>
        <w:jc w:val="both"/>
        <w:rPr>
          <w:rFonts w:cstheme="minorHAnsi"/>
        </w:rPr>
      </w:pPr>
      <w:r w:rsidRPr="00831F54">
        <w:rPr>
          <w:rFonts w:cstheme="minorHAnsi"/>
        </w:rPr>
        <w:t>Agradeço a</w:t>
      </w:r>
      <w:r w:rsidR="000E5BC6" w:rsidRPr="00831F54">
        <w:rPr>
          <w:rFonts w:cstheme="minorHAnsi"/>
        </w:rPr>
        <w:t xml:space="preserve"> professo</w:t>
      </w:r>
      <w:r w:rsidRPr="00831F54">
        <w:rPr>
          <w:rFonts w:cstheme="minorHAnsi"/>
        </w:rPr>
        <w:t>ra Dra. Françoise Dominiqui Valé</w:t>
      </w:r>
      <w:r w:rsidR="000E5BC6" w:rsidRPr="00831F54">
        <w:rPr>
          <w:rFonts w:cstheme="minorHAnsi"/>
        </w:rPr>
        <w:t xml:space="preserve">ry </w:t>
      </w:r>
      <w:r w:rsidRPr="00831F54">
        <w:rPr>
          <w:rFonts w:cstheme="minorHAnsi"/>
        </w:rPr>
        <w:t xml:space="preserve">pelo carinho, apoio e dedicação nas orientações. </w:t>
      </w:r>
    </w:p>
    <w:p w:rsidR="00414393" w:rsidRDefault="00414393" w:rsidP="00A13548">
      <w:pPr>
        <w:tabs>
          <w:tab w:val="left" w:pos="2410"/>
        </w:tabs>
        <w:spacing w:after="0" w:line="240" w:lineRule="auto"/>
        <w:jc w:val="both"/>
        <w:rPr>
          <w:rFonts w:cstheme="minorHAnsi"/>
          <w:b/>
        </w:rPr>
      </w:pPr>
    </w:p>
    <w:p w:rsidR="00A13548" w:rsidRPr="003714C4" w:rsidRDefault="00A13548" w:rsidP="00A13548">
      <w:pPr>
        <w:tabs>
          <w:tab w:val="left" w:pos="2410"/>
        </w:tabs>
        <w:spacing w:after="0" w:line="240" w:lineRule="auto"/>
        <w:jc w:val="both"/>
        <w:rPr>
          <w:rFonts w:cstheme="minorHAnsi"/>
          <w:b/>
        </w:rPr>
      </w:pPr>
      <w:r w:rsidRPr="003714C4">
        <w:rPr>
          <w:rFonts w:cstheme="minorHAnsi"/>
          <w:b/>
        </w:rPr>
        <w:t>REFERÊNCIAS BIBLIOGRÁFICAS</w:t>
      </w:r>
    </w:p>
    <w:p w:rsidR="00A13548" w:rsidRPr="003714C4" w:rsidRDefault="00A13548" w:rsidP="00A135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</w:rPr>
      </w:pPr>
      <w:bookmarkStart w:id="0" w:name="_GoBack"/>
      <w:bookmarkEnd w:id="0"/>
    </w:p>
    <w:p w:rsidR="00D93BD9" w:rsidRDefault="00E066C3" w:rsidP="00D93BD9">
      <w:pPr>
        <w:spacing w:after="0" w:line="240" w:lineRule="auto"/>
        <w:ind w:left="426" w:hanging="426"/>
        <w:jc w:val="both"/>
        <w:rPr>
          <w:rFonts w:eastAsia="Times New Roman" w:cstheme="minorHAnsi"/>
          <w:lang w:eastAsia="pt-BR"/>
        </w:rPr>
      </w:pPr>
      <w:r w:rsidRPr="00E066C3">
        <w:rPr>
          <w:rFonts w:eastAsia="Times New Roman" w:cstheme="minorHAnsi"/>
          <w:lang w:eastAsia="pt-BR"/>
        </w:rPr>
        <w:t>DECLARAÇÃO UNIVERSAL DOS DIREITOS HUMANOS. 1948. Disponível em: &lt;http://portal.mj.gov.br/sedh/11cndh/site/pndh/sis_int/onu/convencoes/Declaracao%20Universal%20dos%20Direitos%20Humanos-%201948.pdf &gt;. Acesso em: 04 jun. 2014.</w:t>
      </w:r>
      <w:r w:rsidR="00A13548" w:rsidRPr="003714C4">
        <w:rPr>
          <w:rFonts w:eastAsia="Times New Roman" w:cstheme="minorHAnsi"/>
          <w:lang w:eastAsia="pt-BR"/>
        </w:rPr>
        <w:t xml:space="preserve">AGUIAR, M. H. O Fundo Nacional de Habitação de Interesse Social: avanços e limites na perspectiva da Reforma Urbana. </w:t>
      </w:r>
      <w:r w:rsidR="00A13548" w:rsidRPr="003714C4">
        <w:rPr>
          <w:rFonts w:eastAsia="Times New Roman" w:cstheme="minorHAnsi"/>
          <w:i/>
          <w:lang w:eastAsia="pt-BR"/>
        </w:rPr>
        <w:t>Dissertação de Mestrado</w:t>
      </w:r>
      <w:r w:rsidR="00A13548" w:rsidRPr="003714C4">
        <w:rPr>
          <w:rFonts w:eastAsia="Times New Roman" w:cstheme="minorHAnsi"/>
          <w:lang w:eastAsia="pt-BR"/>
        </w:rPr>
        <w:t>. Viçosa: Universidade Federal do Rio de Janeiro (UFRJ), 2012.</w:t>
      </w:r>
    </w:p>
    <w:p w:rsidR="00293CFC" w:rsidRDefault="00D93BD9" w:rsidP="00293CF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D93BD9">
        <w:rPr>
          <w:rFonts w:asciiTheme="minorHAnsi" w:eastAsia="Times New Roman" w:hAnsiTheme="minorHAnsi" w:cstheme="minorHAnsi"/>
          <w:bCs/>
          <w:szCs w:val="24"/>
          <w:lang w:eastAsia="pt-BR"/>
        </w:rPr>
        <w:lastRenderedPageBreak/>
        <w:t>COSTA, S. S.</w:t>
      </w:r>
      <w:r w:rsidRPr="00D93BD9">
        <w:rPr>
          <w:rFonts w:asciiTheme="minorHAnsi" w:eastAsia="Times New Roman" w:hAnsiTheme="minorHAnsi" w:cstheme="minorHAnsi"/>
          <w:szCs w:val="24"/>
          <w:lang w:eastAsia="pt-BR"/>
        </w:rPr>
        <w:t xml:space="preserve"> Avanços e retrocessos da política de habitação de interesse social no Brasil. 2014. In: XIX SEMINÁRIO DO CCSA. Natal: UFRN, Maio de 2014. ISSN 1808 6381. Anais digitais. Trabalho completo</w:t>
      </w:r>
      <w:r w:rsidRPr="00D93BD9">
        <w:rPr>
          <w:rFonts w:ascii="Times New Roman" w:eastAsia="Times New Roman" w:hAnsi="Times New Roman"/>
          <w:sz w:val="24"/>
          <w:szCs w:val="24"/>
          <w:lang w:eastAsia="pt-BR"/>
        </w:rPr>
        <w:t>.</w:t>
      </w:r>
      <w:r w:rsidR="00293CFC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:rsidR="00293CFC" w:rsidRPr="00A3746B" w:rsidRDefault="00293CFC" w:rsidP="00293CFC">
      <w:p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Cs w:val="24"/>
          <w:lang w:eastAsia="pt-BR"/>
        </w:rPr>
      </w:pPr>
      <w:r w:rsidRPr="00A3746B">
        <w:rPr>
          <w:rFonts w:asciiTheme="minorHAnsi" w:eastAsia="Times New Roman" w:hAnsiTheme="minorHAnsi" w:cstheme="minorHAnsi"/>
          <w:bCs/>
          <w:szCs w:val="24"/>
          <w:lang w:eastAsia="pt-BR"/>
        </w:rPr>
        <w:t>COSTA, S. S.</w:t>
      </w:r>
      <w:r w:rsidRPr="00A3746B">
        <w:rPr>
          <w:rFonts w:asciiTheme="minorHAnsi" w:eastAsia="Times New Roman" w:hAnsiTheme="minorHAnsi" w:cstheme="minorHAnsi"/>
          <w:szCs w:val="24"/>
          <w:lang w:eastAsia="pt-BR"/>
        </w:rPr>
        <w:t xml:space="preserve"> Avanços e retrocessos da política de habitação de interesse social no Brasil. 2014. In: XIX SEMINÁRIO DO CCSA. Natal: UFRN, Maio de 2014. ISSN 1808 6381. Anais digitais. Trabalho completo.</w:t>
      </w:r>
    </w:p>
    <w:p w:rsidR="00A13548" w:rsidRPr="00293CFC" w:rsidRDefault="00A13548" w:rsidP="00A135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</w:p>
    <w:p w:rsidR="00A13548" w:rsidRPr="003714C4" w:rsidRDefault="00A13548" w:rsidP="00A13548">
      <w:pPr>
        <w:spacing w:after="0" w:line="240" w:lineRule="auto"/>
        <w:rPr>
          <w:rFonts w:cstheme="minorHAnsi"/>
        </w:rPr>
      </w:pPr>
    </w:p>
    <w:p w:rsidR="00A13548" w:rsidRPr="003714C4" w:rsidRDefault="00A13548" w:rsidP="00A13548">
      <w:pPr>
        <w:spacing w:after="0" w:line="240" w:lineRule="auto"/>
        <w:rPr>
          <w:rFonts w:cstheme="minorHAnsi"/>
        </w:rPr>
      </w:pPr>
    </w:p>
    <w:p w:rsidR="00756236" w:rsidRPr="004C7E7F" w:rsidRDefault="00756236" w:rsidP="00756236">
      <w:pPr>
        <w:spacing w:after="0" w:line="36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756236" w:rsidRPr="00467980" w:rsidRDefault="00756236" w:rsidP="00756236">
      <w:pPr>
        <w:spacing w:line="360" w:lineRule="auto"/>
        <w:ind w:firstLine="1134"/>
        <w:rPr>
          <w:rFonts w:ascii="Times New Roman" w:hAnsi="Times New Roman"/>
          <w:sz w:val="24"/>
          <w:szCs w:val="24"/>
        </w:rPr>
      </w:pPr>
    </w:p>
    <w:p w:rsidR="00756236" w:rsidRDefault="00756236" w:rsidP="00756236">
      <w:pPr>
        <w:autoSpaceDE w:val="0"/>
        <w:autoSpaceDN w:val="0"/>
        <w:adjustRightInd w:val="0"/>
        <w:spacing w:after="0" w:line="240" w:lineRule="auto"/>
        <w:ind w:firstLine="567"/>
        <w:rPr>
          <w:rFonts w:cs="Calibri"/>
          <w:b/>
          <w:sz w:val="24"/>
          <w:szCs w:val="24"/>
        </w:rPr>
      </w:pPr>
    </w:p>
    <w:p w:rsidR="00756236" w:rsidRDefault="00756236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br w:type="page"/>
      </w:r>
    </w:p>
    <w:p w:rsidR="00756236" w:rsidRDefault="00756236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  <w:sectPr w:rsidR="00756236" w:rsidSect="00756236">
          <w:type w:val="continuous"/>
          <w:pgSz w:w="11906" w:h="16838"/>
          <w:pgMar w:top="720" w:right="720" w:bottom="720" w:left="720" w:header="708" w:footer="708" w:gutter="0"/>
          <w:cols w:space="286"/>
          <w:docGrid w:linePitch="360"/>
        </w:sectPr>
      </w:pPr>
    </w:p>
    <w:p w:rsidR="00CF1E74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756236" w:rsidRPr="00852EDB" w:rsidRDefault="00756236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756236" w:rsidRDefault="00756236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56236" w:rsidRDefault="00756236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13C9C" w:rsidRDefault="00A13C9C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A13C9C">
        <w:rPr>
          <w:rFonts w:cs="Calibri"/>
        </w:rPr>
        <w:t xml:space="preserve">O </w:t>
      </w:r>
      <w:r w:rsidR="00D45189">
        <w:rPr>
          <w:rFonts w:cs="Calibri"/>
        </w:rPr>
        <w:t>recebimento</w:t>
      </w:r>
      <w:r w:rsidRPr="00A13C9C">
        <w:rPr>
          <w:rFonts w:cs="Calibri"/>
        </w:rPr>
        <w:t xml:space="preserve"> d</w:t>
      </w:r>
      <w:r>
        <w:rPr>
          <w:rFonts w:cs="Calibri"/>
        </w:rPr>
        <w:t>o</w:t>
      </w:r>
      <w:r w:rsidRPr="00A13C9C">
        <w:rPr>
          <w:rFonts w:cs="Calibri"/>
        </w:rPr>
        <w:t xml:space="preserve"> resumo expandido é condição mínima para participação de qualquer tipo de trabalho</w:t>
      </w:r>
      <w:r>
        <w:rPr>
          <w:rFonts w:cs="Calibri"/>
        </w:rPr>
        <w:t xml:space="preserve">. O resumo expandido </w:t>
      </w:r>
      <w:r w:rsidRPr="00A13C9C">
        <w:rPr>
          <w:rFonts w:cs="Calibri"/>
        </w:rPr>
        <w:t xml:space="preserve">deverá </w:t>
      </w:r>
      <w:r w:rsidR="00D45189" w:rsidRPr="00D45189">
        <w:rPr>
          <w:rFonts w:cs="Calibri"/>
        </w:rPr>
        <w:t xml:space="preserve">ser enviado em </w:t>
      </w:r>
      <w:r w:rsidR="00D45189">
        <w:rPr>
          <w:rFonts w:cs="Calibri"/>
        </w:rPr>
        <w:t xml:space="preserve">arquivo do </w:t>
      </w:r>
      <w:r w:rsidR="00D45189" w:rsidRPr="00D45189">
        <w:rPr>
          <w:rFonts w:cs="Calibri"/>
        </w:rPr>
        <w:t>Word</w:t>
      </w:r>
      <w:r w:rsidR="00D45189">
        <w:rPr>
          <w:rFonts w:cs="Calibri"/>
        </w:rPr>
        <w:t xml:space="preserve">e </w:t>
      </w:r>
      <w:r w:rsidRPr="00A13C9C">
        <w:rPr>
          <w:rFonts w:cs="Calibri"/>
        </w:rPr>
        <w:t xml:space="preserve">conter </w:t>
      </w:r>
      <w:r w:rsidR="00D45189">
        <w:rPr>
          <w:rFonts w:cs="Calibri"/>
        </w:rPr>
        <w:t>entre</w:t>
      </w:r>
      <w:r w:rsidRPr="00A13C9C">
        <w:rPr>
          <w:rFonts w:cs="Calibri"/>
        </w:rPr>
        <w:t xml:space="preserve"> 1000 e </w:t>
      </w:r>
      <w:r w:rsidR="008C324F">
        <w:rPr>
          <w:rFonts w:cs="Calibri"/>
        </w:rPr>
        <w:t>15</w:t>
      </w:r>
      <w:r w:rsidRPr="00A13C9C">
        <w:rPr>
          <w:rFonts w:cs="Calibri"/>
        </w:rPr>
        <w:t xml:space="preserve">00 palavras, não podendo exceder a </w:t>
      </w:r>
      <w:r w:rsidR="00D45189">
        <w:rPr>
          <w:rFonts w:cs="Calibri"/>
        </w:rPr>
        <w:t>08</w:t>
      </w:r>
      <w:r w:rsidRPr="00A13C9C">
        <w:rPr>
          <w:rFonts w:cs="Calibri"/>
        </w:rPr>
        <w:t xml:space="preserve"> páginas</w:t>
      </w:r>
      <w:r>
        <w:rPr>
          <w:rFonts w:cs="Calibri"/>
        </w:rPr>
        <w:t xml:space="preserve">, </w:t>
      </w:r>
      <w:r w:rsidRPr="00A13C9C">
        <w:rPr>
          <w:rFonts w:cs="Calibri"/>
        </w:rPr>
        <w:t xml:space="preserve">incluídas </w:t>
      </w:r>
      <w:r w:rsidR="00F135C0">
        <w:rPr>
          <w:rFonts w:cs="Calibri"/>
        </w:rPr>
        <w:t xml:space="preserve">as </w:t>
      </w:r>
      <w:r w:rsidRPr="00A13C9C">
        <w:rPr>
          <w:rFonts w:cs="Calibri"/>
        </w:rPr>
        <w:t>referências e qualquer figura</w:t>
      </w:r>
      <w:r w:rsidR="00D45189">
        <w:rPr>
          <w:rFonts w:cs="Calibri"/>
        </w:rPr>
        <w:t xml:space="preserve"> essencial ao bom entendimento do trabalho</w:t>
      </w:r>
      <w:r w:rsidR="00E056C0">
        <w:rPr>
          <w:rFonts w:cs="Calibri"/>
        </w:rPr>
        <w:t xml:space="preserve">, como </w:t>
      </w:r>
      <w:r w:rsidR="00E056C0" w:rsidRPr="00852EDB">
        <w:rPr>
          <w:rFonts w:cs="Calibri"/>
        </w:rPr>
        <w:t>tabelas, gráficos</w:t>
      </w:r>
      <w:r w:rsidR="00E056C0">
        <w:rPr>
          <w:rFonts w:cs="Calibri"/>
        </w:rPr>
        <w:t>, mapas, fotografias, croquis</w:t>
      </w:r>
      <w:r w:rsidR="00E056C0" w:rsidRPr="00852EDB">
        <w:rPr>
          <w:rFonts w:cs="Calibri"/>
        </w:rPr>
        <w:t xml:space="preserve"> e outras ilustrações</w:t>
      </w:r>
      <w:r w:rsidR="00E056C0">
        <w:rPr>
          <w:rFonts w:cs="Calibri"/>
        </w:rPr>
        <w:t>.</w:t>
      </w:r>
    </w:p>
    <w:p w:rsidR="008C324F" w:rsidRPr="00D45189" w:rsidRDefault="008C324F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52EDB">
        <w:rPr>
          <w:rFonts w:cs="Calibri"/>
        </w:rPr>
        <w:t>O texto da introdução deverá contemplar uma pequena revisão sobre a temática na qual otrabalho está inserido</w:t>
      </w:r>
      <w:r w:rsidR="00F135C0">
        <w:rPr>
          <w:rFonts w:cs="Calibri"/>
        </w:rPr>
        <w:t xml:space="preserve"> e sua problematização</w:t>
      </w:r>
      <w:r w:rsidRPr="00852EDB">
        <w:rPr>
          <w:rFonts w:cs="Calibri"/>
        </w:rPr>
        <w:t>.Deverá</w:t>
      </w:r>
      <w:r w:rsidR="00D45189">
        <w:rPr>
          <w:rFonts w:cs="Calibri"/>
        </w:rPr>
        <w:t>,</w:t>
      </w:r>
      <w:r w:rsidRPr="00852EDB">
        <w:rPr>
          <w:rFonts w:cs="Calibri"/>
        </w:rPr>
        <w:t xml:space="preserve"> ainda</w:t>
      </w:r>
      <w:r w:rsidR="00D45189">
        <w:rPr>
          <w:rFonts w:cs="Calibri"/>
        </w:rPr>
        <w:t>,</w:t>
      </w:r>
      <w:r w:rsidRPr="00852EDB">
        <w:rPr>
          <w:rFonts w:cs="Calibri"/>
        </w:rPr>
        <w:t xml:space="preserve"> apresentar o contexto geral do trabalho.</w:t>
      </w:r>
      <w:r w:rsidR="00863708" w:rsidRPr="00852EDB">
        <w:rPr>
          <w:rFonts w:cs="Calibri"/>
          <w:color w:val="BFBFBF"/>
        </w:rPr>
        <w:t>(Calibri 11</w:t>
      </w:r>
      <w:r w:rsidR="00F83478" w:rsidRPr="00852EDB">
        <w:rPr>
          <w:rFonts w:cs="Calibri"/>
          <w:color w:val="BFBFBF"/>
        </w:rPr>
        <w:t xml:space="preserve"> justificado</w:t>
      </w:r>
      <w:r w:rsidR="00863708" w:rsidRPr="00852EDB">
        <w:rPr>
          <w:rFonts w:cs="Calibri"/>
          <w:color w:val="BFBFBF"/>
        </w:rPr>
        <w:t>)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  <w:r w:rsidR="00863708" w:rsidRPr="00863708">
        <w:rPr>
          <w:rFonts w:cs="Calibri"/>
          <w:color w:val="BFBFBF"/>
          <w:sz w:val="24"/>
          <w:szCs w:val="24"/>
        </w:rPr>
        <w:t>(Calibri 12 negrito</w:t>
      </w:r>
      <w:r w:rsidR="00F83478">
        <w:rPr>
          <w:rFonts w:cs="Calibri"/>
          <w:color w:val="BFBFBF"/>
          <w:sz w:val="24"/>
          <w:szCs w:val="24"/>
        </w:rPr>
        <w:t xml:space="preserve"> à esquerda</w:t>
      </w:r>
      <w:r w:rsidR="00863708" w:rsidRPr="00863708">
        <w:rPr>
          <w:rFonts w:cs="Calibri"/>
          <w:color w:val="BFBFBF"/>
          <w:sz w:val="24"/>
          <w:szCs w:val="24"/>
        </w:rPr>
        <w:t>)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CF1E74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52EDB">
        <w:rPr>
          <w:rFonts w:cs="Calibri"/>
        </w:rPr>
        <w:t>Indicar de forma sucinta os principais objetivos a serem atendidos pelo trabalho.</w:t>
      </w:r>
      <w:r w:rsidR="00863708" w:rsidRPr="00852EDB">
        <w:rPr>
          <w:rFonts w:cs="Calibri"/>
          <w:color w:val="BFBFBF"/>
        </w:rPr>
        <w:t>(Calibri11</w:t>
      </w:r>
      <w:r w:rsidR="00F83478" w:rsidRPr="00852EDB">
        <w:rPr>
          <w:rFonts w:cs="Calibri"/>
          <w:color w:val="BFBFBF"/>
        </w:rPr>
        <w:t xml:space="preserve"> centralizado</w:t>
      </w:r>
      <w:r w:rsidR="00863708" w:rsidRPr="00852EDB">
        <w:rPr>
          <w:rFonts w:cs="Calibri"/>
          <w:color w:val="BFBFBF"/>
        </w:rPr>
        <w:t>)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METODO</w:t>
      </w:r>
      <w:r w:rsidR="00863708" w:rsidRPr="00863708">
        <w:rPr>
          <w:rFonts w:cs="Calibri"/>
          <w:color w:val="BFBFBF"/>
          <w:sz w:val="24"/>
          <w:szCs w:val="24"/>
        </w:rPr>
        <w:t>(Calibri 12 negrito</w:t>
      </w:r>
      <w:r w:rsidR="00F83478">
        <w:rPr>
          <w:rFonts w:cs="Calibri"/>
          <w:color w:val="BFBFBF"/>
          <w:sz w:val="24"/>
          <w:szCs w:val="24"/>
        </w:rPr>
        <w:t xml:space="preserve"> à esquerda</w:t>
      </w:r>
      <w:r w:rsidR="00863708" w:rsidRPr="00863708">
        <w:rPr>
          <w:rFonts w:cs="Calibri"/>
          <w:color w:val="BFBFBF"/>
          <w:sz w:val="24"/>
          <w:szCs w:val="24"/>
        </w:rPr>
        <w:t>)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CF1E74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52EDB">
        <w:rPr>
          <w:rFonts w:cs="Calibri"/>
        </w:rPr>
        <w:t xml:space="preserve">Indicar </w:t>
      </w:r>
      <w:r w:rsidR="00D22DFD">
        <w:rPr>
          <w:rFonts w:cs="Calibri"/>
        </w:rPr>
        <w:t>o</w:t>
      </w:r>
      <w:r w:rsidRPr="00852EDB">
        <w:rPr>
          <w:rFonts w:cs="Calibri"/>
        </w:rPr>
        <w:t xml:space="preserve"> m</w:t>
      </w:r>
      <w:r w:rsidR="00D22DFD">
        <w:rPr>
          <w:rFonts w:cs="Calibri"/>
        </w:rPr>
        <w:t>é</w:t>
      </w:r>
      <w:r w:rsidRPr="00852EDB">
        <w:rPr>
          <w:rFonts w:cs="Calibri"/>
        </w:rPr>
        <w:t>todo utilizad</w:t>
      </w:r>
      <w:r w:rsidR="00D22DFD">
        <w:rPr>
          <w:rFonts w:cs="Calibri"/>
        </w:rPr>
        <w:t>o(ou proposto) p</w:t>
      </w:r>
      <w:r w:rsidRPr="00852EDB">
        <w:rPr>
          <w:rFonts w:cs="Calibri"/>
        </w:rPr>
        <w:t>ara atingir os objetivos pr</w:t>
      </w:r>
      <w:r w:rsidR="00D22DFD">
        <w:rPr>
          <w:rFonts w:cs="Calibri"/>
        </w:rPr>
        <w:t>etendidos</w:t>
      </w:r>
      <w:r w:rsidRPr="00852EDB">
        <w:rPr>
          <w:rFonts w:cs="Calibri"/>
        </w:rPr>
        <w:t>.</w:t>
      </w:r>
      <w:r w:rsidR="00863708" w:rsidRPr="00852EDB">
        <w:rPr>
          <w:rFonts w:cs="Calibri"/>
          <w:color w:val="BFBFBF"/>
        </w:rPr>
        <w:t>(Calibri 11</w:t>
      </w:r>
      <w:r w:rsidR="00F83478" w:rsidRPr="00852EDB">
        <w:rPr>
          <w:rFonts w:cs="Calibri"/>
          <w:color w:val="BFBFBF"/>
        </w:rPr>
        <w:t>-justificado</w:t>
      </w:r>
      <w:r w:rsidR="00863708" w:rsidRPr="00852EDB">
        <w:rPr>
          <w:rFonts w:cs="Calibri"/>
          <w:color w:val="BFBFBF"/>
        </w:rPr>
        <w:t>)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  <w:r w:rsidR="00863708" w:rsidRPr="00863708">
        <w:rPr>
          <w:rFonts w:cs="Calibri"/>
          <w:color w:val="BFBFBF"/>
          <w:sz w:val="24"/>
          <w:szCs w:val="24"/>
        </w:rPr>
        <w:t>(Calibri 12 negrito</w:t>
      </w:r>
      <w:r w:rsidR="00F83478">
        <w:rPr>
          <w:rFonts w:cs="Calibri"/>
          <w:color w:val="BFBFBF"/>
          <w:sz w:val="24"/>
          <w:szCs w:val="24"/>
        </w:rPr>
        <w:t xml:space="preserve"> à esquerda</w:t>
      </w:r>
      <w:r w:rsidR="00863708" w:rsidRPr="00863708">
        <w:rPr>
          <w:rFonts w:cs="Calibri"/>
          <w:color w:val="BFBFBF"/>
          <w:sz w:val="24"/>
          <w:szCs w:val="24"/>
        </w:rPr>
        <w:t>)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D22DFD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Para trabalhos ainda em fase de projeto (1º ano) esse item poderá apresentar uma visão geral do estado da arte</w:t>
      </w:r>
      <w:r w:rsidR="00D45189">
        <w:rPr>
          <w:rFonts w:cs="Calibri"/>
        </w:rPr>
        <w:t xml:space="preserve"> naquele campo</w:t>
      </w:r>
      <w:r w:rsidR="00C3594D" w:rsidRPr="00F135C0">
        <w:rPr>
          <w:rFonts w:cs="Calibri"/>
        </w:rPr>
        <w:t xml:space="preserve">ou trabalho desenvolvido em disciplinas do curso, </w:t>
      </w:r>
      <w:r w:rsidR="00F135C0" w:rsidRPr="00F135C0">
        <w:rPr>
          <w:rFonts w:cs="Calibri"/>
        </w:rPr>
        <w:t xml:space="preserve">desde que seja feita </w:t>
      </w:r>
      <w:r w:rsidR="00C3594D" w:rsidRPr="00F135C0">
        <w:rPr>
          <w:rFonts w:cs="Calibri"/>
        </w:rPr>
        <w:t xml:space="preserve">a devida referencia </w:t>
      </w:r>
      <w:r w:rsidR="00F135C0" w:rsidRPr="00F135C0">
        <w:rPr>
          <w:rFonts w:cs="Calibri"/>
        </w:rPr>
        <w:t xml:space="preserve">da relação de seus </w:t>
      </w:r>
      <w:r w:rsidR="00C3594D" w:rsidRPr="00F135C0">
        <w:rPr>
          <w:rFonts w:cs="Calibri"/>
        </w:rPr>
        <w:t xml:space="preserve">resultados </w:t>
      </w:r>
      <w:r w:rsidR="00F135C0" w:rsidRPr="00F135C0">
        <w:rPr>
          <w:rFonts w:cs="Calibri"/>
        </w:rPr>
        <w:t>com</w:t>
      </w:r>
      <w:r w:rsidR="00C3594D" w:rsidRPr="00F135C0">
        <w:rPr>
          <w:rFonts w:cs="Calibri"/>
        </w:rPr>
        <w:t xml:space="preserve"> a pesquisa proposta para o mestrado</w:t>
      </w:r>
      <w:r w:rsidR="00F135C0">
        <w:rPr>
          <w:rFonts w:cs="Calibri"/>
        </w:rPr>
        <w:t>/doutorado</w:t>
      </w:r>
      <w:r>
        <w:rPr>
          <w:rFonts w:cs="Calibri"/>
        </w:rPr>
        <w:t>. Para trabalhos em estágio mais adiantado, nesse item podem ser a</w:t>
      </w:r>
      <w:r w:rsidR="00CF1E74" w:rsidRPr="00852EDB">
        <w:rPr>
          <w:rFonts w:cs="Calibri"/>
        </w:rPr>
        <w:t>presenta</w:t>
      </w:r>
      <w:r>
        <w:rPr>
          <w:rFonts w:cs="Calibri"/>
        </w:rPr>
        <w:t>dos</w:t>
      </w:r>
      <w:r w:rsidR="00CF1E74" w:rsidRPr="00852EDB">
        <w:rPr>
          <w:rFonts w:cs="Calibri"/>
        </w:rPr>
        <w:t xml:space="preserve"> resultados </w:t>
      </w:r>
      <w:r w:rsidR="00F135C0">
        <w:rPr>
          <w:rFonts w:cs="Calibri"/>
        </w:rPr>
        <w:t>parciais obtidos</w:t>
      </w:r>
      <w:r>
        <w:rPr>
          <w:rFonts w:cs="Calibri"/>
        </w:rPr>
        <w:t xml:space="preserve">(no caso de já haver algum) </w:t>
      </w:r>
      <w:r w:rsidR="00CF1E74" w:rsidRPr="00852EDB">
        <w:rPr>
          <w:rFonts w:cs="Calibri"/>
        </w:rPr>
        <w:t>e sua discussão em relação ao conhecimento disponível.</w:t>
      </w:r>
      <w:r w:rsidR="00863708" w:rsidRPr="00852EDB">
        <w:rPr>
          <w:rFonts w:cs="Calibri"/>
          <w:color w:val="BFBFBF"/>
        </w:rPr>
        <w:t>(Calibri 11</w:t>
      </w:r>
      <w:r w:rsidR="00F83478" w:rsidRPr="00852EDB">
        <w:rPr>
          <w:rFonts w:cs="Calibri"/>
          <w:color w:val="BFBFBF"/>
        </w:rPr>
        <w:t xml:space="preserve"> justificado</w:t>
      </w:r>
      <w:r w:rsidR="00863708" w:rsidRPr="00852EDB">
        <w:rPr>
          <w:rFonts w:cs="Calibri"/>
          <w:color w:val="BFBFBF"/>
        </w:rPr>
        <w:t>)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  <w:r w:rsidR="00863708" w:rsidRPr="00863708">
        <w:rPr>
          <w:rFonts w:cs="Calibri"/>
          <w:color w:val="BFBFBF"/>
          <w:sz w:val="24"/>
          <w:szCs w:val="24"/>
        </w:rPr>
        <w:t>(Calibri 12 negrito</w:t>
      </w:r>
      <w:r w:rsidR="004727AB">
        <w:rPr>
          <w:rFonts w:cs="Calibri"/>
          <w:color w:val="BFBFBF"/>
          <w:sz w:val="24"/>
          <w:szCs w:val="24"/>
        </w:rPr>
        <w:t xml:space="preserve"> à esquerda</w:t>
      </w:r>
      <w:r w:rsidR="00863708" w:rsidRPr="00863708">
        <w:rPr>
          <w:rFonts w:cs="Calibri"/>
          <w:color w:val="BFBFBF"/>
          <w:sz w:val="24"/>
          <w:szCs w:val="24"/>
        </w:rPr>
        <w:t>)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CF1E74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52EDB">
        <w:rPr>
          <w:rFonts w:cs="Calibri"/>
        </w:rPr>
        <w:t>Indicar de forma objetiva as principais conclusões obtidas pelo trabalho</w:t>
      </w:r>
      <w:r w:rsidR="00D22DFD">
        <w:rPr>
          <w:rFonts w:cs="Calibri"/>
        </w:rPr>
        <w:t>, ou os próximos passos para sua continuidade</w:t>
      </w:r>
      <w:r w:rsidRPr="00852EDB">
        <w:rPr>
          <w:rFonts w:cs="Calibri"/>
        </w:rPr>
        <w:t>.</w:t>
      </w:r>
      <w:r w:rsidR="00863708" w:rsidRPr="00852EDB">
        <w:rPr>
          <w:rFonts w:cs="Calibri"/>
          <w:color w:val="BFBFBF"/>
        </w:rPr>
        <w:t>(Calibri 11</w:t>
      </w:r>
      <w:r w:rsidR="004727AB" w:rsidRPr="00852EDB">
        <w:rPr>
          <w:rFonts w:cs="Calibri"/>
          <w:color w:val="BFBFBF"/>
        </w:rPr>
        <w:t xml:space="preserve"> justificado</w:t>
      </w:r>
      <w:r w:rsidR="00863708" w:rsidRPr="00852EDB">
        <w:rPr>
          <w:rFonts w:cs="Calibri"/>
          <w:color w:val="BFBFBF"/>
        </w:rPr>
        <w:t>)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AGRADECIMENTOS</w:t>
      </w:r>
      <w:r w:rsidR="00863708" w:rsidRPr="00863708">
        <w:rPr>
          <w:rFonts w:cs="Calibri"/>
          <w:color w:val="BFBFBF"/>
          <w:sz w:val="24"/>
          <w:szCs w:val="24"/>
        </w:rPr>
        <w:t>(Calibri 12 negrito</w:t>
      </w:r>
      <w:r w:rsidR="004727AB">
        <w:rPr>
          <w:rFonts w:cs="Calibri"/>
          <w:color w:val="BFBFBF"/>
          <w:sz w:val="24"/>
          <w:szCs w:val="24"/>
        </w:rPr>
        <w:t xml:space="preserve"> à esquerda</w:t>
      </w:r>
      <w:r w:rsidR="00863708" w:rsidRPr="00863708">
        <w:rPr>
          <w:rFonts w:cs="Calibri"/>
          <w:color w:val="BFBFBF"/>
          <w:sz w:val="24"/>
          <w:szCs w:val="24"/>
        </w:rPr>
        <w:t>)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CF1E74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52EDB">
        <w:rPr>
          <w:rFonts w:cs="Calibri"/>
        </w:rPr>
        <w:t xml:space="preserve">Item não obrigatório, </w:t>
      </w:r>
      <w:r w:rsidR="00E056C0">
        <w:rPr>
          <w:rFonts w:cs="Calibri"/>
        </w:rPr>
        <w:t>no qual</w:t>
      </w:r>
      <w:r w:rsidRPr="00852EDB">
        <w:rPr>
          <w:rFonts w:cs="Calibri"/>
        </w:rPr>
        <w:t xml:space="preserve"> os autores poderão agradecer as instituições de financiamento efomento, colaboradores, entre outras.</w:t>
      </w:r>
      <w:r w:rsidR="00863708" w:rsidRPr="00852EDB">
        <w:rPr>
          <w:rFonts w:cs="Calibri"/>
          <w:color w:val="BFBFBF"/>
        </w:rPr>
        <w:t>(Calibri 11</w:t>
      </w:r>
      <w:r w:rsidR="004727AB" w:rsidRPr="00852EDB">
        <w:rPr>
          <w:rFonts w:cs="Calibri"/>
          <w:color w:val="BFBFBF"/>
        </w:rPr>
        <w:t xml:space="preserve"> justificado</w:t>
      </w:r>
      <w:r w:rsidR="00863708" w:rsidRPr="00852EDB">
        <w:rPr>
          <w:rFonts w:cs="Calibri"/>
          <w:color w:val="BFBFBF"/>
        </w:rPr>
        <w:t>)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  <w:r w:rsidR="00863708" w:rsidRPr="00863708">
        <w:rPr>
          <w:rFonts w:cs="Calibri"/>
          <w:color w:val="BFBFBF"/>
          <w:sz w:val="24"/>
          <w:szCs w:val="24"/>
        </w:rPr>
        <w:t>(Calibri 12 negrito</w:t>
      </w:r>
      <w:r w:rsidR="00F83478">
        <w:rPr>
          <w:rFonts w:cs="Calibri"/>
          <w:color w:val="BFBFBF"/>
          <w:sz w:val="24"/>
          <w:szCs w:val="24"/>
        </w:rPr>
        <w:t xml:space="preserve"> à esquerda</w:t>
      </w:r>
      <w:r w:rsidR="00863708" w:rsidRPr="00863708">
        <w:rPr>
          <w:rFonts w:cs="Calibri"/>
          <w:color w:val="BFBFBF"/>
          <w:sz w:val="24"/>
          <w:szCs w:val="24"/>
        </w:rPr>
        <w:t>)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863708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52EDB">
        <w:rPr>
          <w:rFonts w:cs="Calibri"/>
          <w:sz w:val="20"/>
          <w:szCs w:val="20"/>
        </w:rPr>
        <w:t>Para as referências use</w:t>
      </w:r>
      <w:r w:rsidR="00CF1E74" w:rsidRPr="00852EDB">
        <w:rPr>
          <w:rFonts w:cs="Calibri"/>
          <w:sz w:val="20"/>
          <w:szCs w:val="20"/>
        </w:rPr>
        <w:t xml:space="preserve"> espaço simples (um) entre as linhas e espaço duplo paraseparar as referências entre si.</w:t>
      </w:r>
      <w:r w:rsidRPr="00852EDB">
        <w:rPr>
          <w:rFonts w:cs="Calibri"/>
          <w:color w:val="BFBFBF"/>
          <w:sz w:val="20"/>
          <w:szCs w:val="20"/>
        </w:rPr>
        <w:t>(Calibri 1</w:t>
      </w:r>
      <w:r w:rsidR="00852EDB">
        <w:rPr>
          <w:rFonts w:cs="Calibri"/>
          <w:color w:val="BFBFBF"/>
          <w:sz w:val="20"/>
          <w:szCs w:val="20"/>
        </w:rPr>
        <w:t>0</w:t>
      </w:r>
      <w:r w:rsidR="004727AB" w:rsidRPr="00852EDB">
        <w:rPr>
          <w:rFonts w:cs="Calibri"/>
          <w:color w:val="BFBFBF"/>
          <w:sz w:val="20"/>
          <w:szCs w:val="20"/>
        </w:rPr>
        <w:t xml:space="preserve"> à esquerda</w:t>
      </w:r>
      <w:r w:rsidRPr="00852EDB">
        <w:rPr>
          <w:rFonts w:cs="Calibri"/>
          <w:color w:val="BFBFBF"/>
          <w:sz w:val="20"/>
          <w:szCs w:val="20"/>
        </w:rPr>
        <w:t>)</w:t>
      </w:r>
    </w:p>
    <w:p w:rsidR="00375E0C" w:rsidRPr="00852EDB" w:rsidRDefault="00375E0C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375E0C" w:rsidRDefault="00F135C0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Indicar apenas obras citadas no texto, e u</w:t>
      </w:r>
      <w:r w:rsidR="00375E0C" w:rsidRPr="00852EDB">
        <w:rPr>
          <w:rFonts w:cs="Calibri"/>
          <w:sz w:val="20"/>
          <w:szCs w:val="20"/>
        </w:rPr>
        <w:t xml:space="preserve">tilizar </w:t>
      </w:r>
      <w:r>
        <w:rPr>
          <w:rFonts w:cs="Calibri"/>
          <w:sz w:val="20"/>
          <w:szCs w:val="20"/>
        </w:rPr>
        <w:t xml:space="preserve">os parâmetros da </w:t>
      </w:r>
      <w:r w:rsidR="00375E0C" w:rsidRPr="00852EDB">
        <w:rPr>
          <w:rFonts w:cs="Calibri"/>
          <w:sz w:val="20"/>
          <w:szCs w:val="20"/>
        </w:rPr>
        <w:t>ABNT</w:t>
      </w:r>
      <w:r>
        <w:rPr>
          <w:rFonts w:cs="Calibri"/>
          <w:sz w:val="20"/>
          <w:szCs w:val="20"/>
        </w:rPr>
        <w:t>.</w:t>
      </w:r>
    </w:p>
    <w:p w:rsid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3B00CB" w:rsidRP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  <w:r w:rsidRPr="003B00CB">
        <w:rPr>
          <w:rFonts w:cs="Calibri"/>
          <w:b/>
          <w:sz w:val="20"/>
          <w:szCs w:val="20"/>
        </w:rPr>
        <w:t>NOTAS</w:t>
      </w:r>
    </w:p>
    <w:p w:rsidR="0013088B" w:rsidRPr="003F4FF8" w:rsidRDefault="0013088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sectPr w:rsidR="0013088B" w:rsidRPr="003F4FF8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440" w:rsidRDefault="00263440" w:rsidP="00CF1E74">
      <w:pPr>
        <w:spacing w:after="0" w:line="240" w:lineRule="auto"/>
      </w:pPr>
      <w:r>
        <w:separator/>
      </w:r>
    </w:p>
  </w:endnote>
  <w:endnote w:type="continuationSeparator" w:id="0">
    <w:p w:rsidR="00263440" w:rsidRDefault="00263440" w:rsidP="00CF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440" w:rsidRDefault="00263440" w:rsidP="00CF1E74">
      <w:pPr>
        <w:spacing w:after="0" w:line="240" w:lineRule="auto"/>
      </w:pPr>
      <w:r>
        <w:separator/>
      </w:r>
    </w:p>
  </w:footnote>
  <w:footnote w:type="continuationSeparator" w:id="0">
    <w:p w:rsidR="00263440" w:rsidRDefault="00263440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263440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w:pict>
        <v:rect id="Retângulo 4" o:spid="_x0000_s2050" style="position:absolute;left:0;text-align:left;margin-left:40.7pt;margin-top:0;width:57.3pt;height:25.95pt;z-index:251657216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<v:textbox>
            <w:txbxContent>
              <w:p w:rsidR="0013088B" w:rsidRDefault="009A17F8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13088B">
                  <w:instrText>PAGE   \* MERGEFORMAT</w:instrText>
                </w:r>
                <w:r>
                  <w:fldChar w:fldCharType="separate"/>
                </w:r>
                <w:r w:rsidR="00831F54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 w:rsidR="00C12F16"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>PPGAU/UFRN</w:t>
    </w:r>
  </w:p>
  <w:p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F1E74" w:rsidRPr="00DC669D" w:rsidRDefault="00263440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w:pict>
        <v:rect id="_x0000_s2049" style="position:absolute;left:0;text-align:left;margin-left:566.7pt;margin-top:409.05pt;width:28.8pt;height:25.95pt;z-index:251658240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<v:textbox>
            <w:txbxContent>
              <w:p w:rsidR="0013088B" w:rsidRDefault="009A17F8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13088B">
                  <w:instrText>PAGE   \* MERGEFORMAT</w:instrText>
                </w:r>
                <w:r>
                  <w:fldChar w:fldCharType="separate"/>
                </w:r>
                <w:r w:rsidR="00831F54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D33A1"/>
    <w:multiLevelType w:val="hybridMultilevel"/>
    <w:tmpl w:val="C62AF538"/>
    <w:lvl w:ilvl="0" w:tplc="01D490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1EE0E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54D3C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88A01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E24BA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5C26A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EAA77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DCA80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8EB67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2A14BA"/>
    <w:multiLevelType w:val="hybridMultilevel"/>
    <w:tmpl w:val="CA0009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B448C"/>
    <w:multiLevelType w:val="hybridMultilevel"/>
    <w:tmpl w:val="FBEC57AC"/>
    <w:lvl w:ilvl="0" w:tplc="F7A2AC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2FD9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4CA5B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3EC9A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4AD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FAABE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DC55C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BEA49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84B7E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7D59B9"/>
    <w:multiLevelType w:val="hybridMultilevel"/>
    <w:tmpl w:val="B7CEF08A"/>
    <w:lvl w:ilvl="0" w:tplc="0416000F">
      <w:start w:val="1"/>
      <w:numFmt w:val="decimal"/>
      <w:lvlText w:val="%1."/>
      <w:lvlJc w:val="left"/>
      <w:pPr>
        <w:ind w:left="926" w:hanging="360"/>
      </w:pPr>
    </w:lvl>
    <w:lvl w:ilvl="1" w:tplc="04160019" w:tentative="1">
      <w:start w:val="1"/>
      <w:numFmt w:val="lowerLetter"/>
      <w:lvlText w:val="%2."/>
      <w:lvlJc w:val="left"/>
      <w:pPr>
        <w:ind w:left="1646" w:hanging="360"/>
      </w:pPr>
    </w:lvl>
    <w:lvl w:ilvl="2" w:tplc="0416001B" w:tentative="1">
      <w:start w:val="1"/>
      <w:numFmt w:val="lowerRoman"/>
      <w:lvlText w:val="%3."/>
      <w:lvlJc w:val="right"/>
      <w:pPr>
        <w:ind w:left="2366" w:hanging="180"/>
      </w:pPr>
    </w:lvl>
    <w:lvl w:ilvl="3" w:tplc="0416000F" w:tentative="1">
      <w:start w:val="1"/>
      <w:numFmt w:val="decimal"/>
      <w:lvlText w:val="%4."/>
      <w:lvlJc w:val="left"/>
      <w:pPr>
        <w:ind w:left="3086" w:hanging="360"/>
      </w:pPr>
    </w:lvl>
    <w:lvl w:ilvl="4" w:tplc="04160019" w:tentative="1">
      <w:start w:val="1"/>
      <w:numFmt w:val="lowerLetter"/>
      <w:lvlText w:val="%5."/>
      <w:lvlJc w:val="left"/>
      <w:pPr>
        <w:ind w:left="3806" w:hanging="360"/>
      </w:pPr>
    </w:lvl>
    <w:lvl w:ilvl="5" w:tplc="0416001B" w:tentative="1">
      <w:start w:val="1"/>
      <w:numFmt w:val="lowerRoman"/>
      <w:lvlText w:val="%6."/>
      <w:lvlJc w:val="right"/>
      <w:pPr>
        <w:ind w:left="4526" w:hanging="180"/>
      </w:pPr>
    </w:lvl>
    <w:lvl w:ilvl="6" w:tplc="0416000F" w:tentative="1">
      <w:start w:val="1"/>
      <w:numFmt w:val="decimal"/>
      <w:lvlText w:val="%7."/>
      <w:lvlJc w:val="left"/>
      <w:pPr>
        <w:ind w:left="5246" w:hanging="360"/>
      </w:pPr>
    </w:lvl>
    <w:lvl w:ilvl="7" w:tplc="04160019" w:tentative="1">
      <w:start w:val="1"/>
      <w:numFmt w:val="lowerLetter"/>
      <w:lvlText w:val="%8."/>
      <w:lvlJc w:val="left"/>
      <w:pPr>
        <w:ind w:left="5966" w:hanging="360"/>
      </w:pPr>
    </w:lvl>
    <w:lvl w:ilvl="8" w:tplc="0416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>
    <w:nsid w:val="6CE01996"/>
    <w:multiLevelType w:val="hybridMultilevel"/>
    <w:tmpl w:val="7A465242"/>
    <w:lvl w:ilvl="0" w:tplc="3C3C137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8E1D3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F254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D6B34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A8223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820A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CCDE0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B6FA0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6E988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E74"/>
    <w:rsid w:val="00014818"/>
    <w:rsid w:val="000244FB"/>
    <w:rsid w:val="00043EBC"/>
    <w:rsid w:val="0005728C"/>
    <w:rsid w:val="0008317A"/>
    <w:rsid w:val="00092451"/>
    <w:rsid w:val="000B1BD8"/>
    <w:rsid w:val="000C02AB"/>
    <w:rsid w:val="000C3685"/>
    <w:rsid w:val="000D5D30"/>
    <w:rsid w:val="000E5BC6"/>
    <w:rsid w:val="000F70AB"/>
    <w:rsid w:val="001125CD"/>
    <w:rsid w:val="00126CD1"/>
    <w:rsid w:val="0013088B"/>
    <w:rsid w:val="0017634B"/>
    <w:rsid w:val="00192FE6"/>
    <w:rsid w:val="001A06A5"/>
    <w:rsid w:val="001A2B7A"/>
    <w:rsid w:val="001A3B6A"/>
    <w:rsid w:val="001D2629"/>
    <w:rsid w:val="001E284B"/>
    <w:rsid w:val="001F549D"/>
    <w:rsid w:val="0020318F"/>
    <w:rsid w:val="00216742"/>
    <w:rsid w:val="002231FB"/>
    <w:rsid w:val="00244395"/>
    <w:rsid w:val="00254D3C"/>
    <w:rsid w:val="00262CA5"/>
    <w:rsid w:val="00263440"/>
    <w:rsid w:val="002665AA"/>
    <w:rsid w:val="0028534C"/>
    <w:rsid w:val="00293CFC"/>
    <w:rsid w:val="00294D9C"/>
    <w:rsid w:val="002F1D31"/>
    <w:rsid w:val="003370FC"/>
    <w:rsid w:val="00375E0C"/>
    <w:rsid w:val="0037735A"/>
    <w:rsid w:val="003A6094"/>
    <w:rsid w:val="003B00CB"/>
    <w:rsid w:val="003C40BF"/>
    <w:rsid w:val="003D1D0C"/>
    <w:rsid w:val="003D31EA"/>
    <w:rsid w:val="003D5B85"/>
    <w:rsid w:val="003E017D"/>
    <w:rsid w:val="003E766A"/>
    <w:rsid w:val="003F4FF8"/>
    <w:rsid w:val="00411FAD"/>
    <w:rsid w:val="00414393"/>
    <w:rsid w:val="0043698F"/>
    <w:rsid w:val="004727AB"/>
    <w:rsid w:val="00492705"/>
    <w:rsid w:val="004E56E8"/>
    <w:rsid w:val="00537D80"/>
    <w:rsid w:val="005429AF"/>
    <w:rsid w:val="00591785"/>
    <w:rsid w:val="00591996"/>
    <w:rsid w:val="005936F1"/>
    <w:rsid w:val="005974DD"/>
    <w:rsid w:val="005B3E26"/>
    <w:rsid w:val="005C69B7"/>
    <w:rsid w:val="005F559F"/>
    <w:rsid w:val="00607F0A"/>
    <w:rsid w:val="00625AC5"/>
    <w:rsid w:val="00641FA8"/>
    <w:rsid w:val="00652A9B"/>
    <w:rsid w:val="00652EF3"/>
    <w:rsid w:val="00682857"/>
    <w:rsid w:val="006917D4"/>
    <w:rsid w:val="006A31FC"/>
    <w:rsid w:val="006F3685"/>
    <w:rsid w:val="00704DDC"/>
    <w:rsid w:val="00730320"/>
    <w:rsid w:val="00732761"/>
    <w:rsid w:val="007433E5"/>
    <w:rsid w:val="00744250"/>
    <w:rsid w:val="00756236"/>
    <w:rsid w:val="007850DA"/>
    <w:rsid w:val="007B2784"/>
    <w:rsid w:val="007B2EAF"/>
    <w:rsid w:val="007B344F"/>
    <w:rsid w:val="007C3150"/>
    <w:rsid w:val="00823518"/>
    <w:rsid w:val="00831F54"/>
    <w:rsid w:val="00847BE3"/>
    <w:rsid w:val="00852EDB"/>
    <w:rsid w:val="00863708"/>
    <w:rsid w:val="008941F4"/>
    <w:rsid w:val="0089638E"/>
    <w:rsid w:val="008A17C6"/>
    <w:rsid w:val="008A668B"/>
    <w:rsid w:val="008C30C5"/>
    <w:rsid w:val="008C324F"/>
    <w:rsid w:val="008E51D4"/>
    <w:rsid w:val="0090646F"/>
    <w:rsid w:val="00910950"/>
    <w:rsid w:val="0094076C"/>
    <w:rsid w:val="00953512"/>
    <w:rsid w:val="00967913"/>
    <w:rsid w:val="0098156B"/>
    <w:rsid w:val="0099729C"/>
    <w:rsid w:val="009A17F8"/>
    <w:rsid w:val="00A05D1F"/>
    <w:rsid w:val="00A13548"/>
    <w:rsid w:val="00A13C9C"/>
    <w:rsid w:val="00A3746B"/>
    <w:rsid w:val="00A400A0"/>
    <w:rsid w:val="00A44712"/>
    <w:rsid w:val="00A64C65"/>
    <w:rsid w:val="00AC082E"/>
    <w:rsid w:val="00AC6A08"/>
    <w:rsid w:val="00AD2674"/>
    <w:rsid w:val="00B1641E"/>
    <w:rsid w:val="00B55831"/>
    <w:rsid w:val="00B618C3"/>
    <w:rsid w:val="00B645A6"/>
    <w:rsid w:val="00B85916"/>
    <w:rsid w:val="00BB3B9E"/>
    <w:rsid w:val="00BC65CB"/>
    <w:rsid w:val="00BF1793"/>
    <w:rsid w:val="00C12F16"/>
    <w:rsid w:val="00C3594D"/>
    <w:rsid w:val="00C54BDA"/>
    <w:rsid w:val="00CF1E74"/>
    <w:rsid w:val="00CF2C31"/>
    <w:rsid w:val="00D055D1"/>
    <w:rsid w:val="00D14804"/>
    <w:rsid w:val="00D159D8"/>
    <w:rsid w:val="00D16756"/>
    <w:rsid w:val="00D22DFD"/>
    <w:rsid w:val="00D276BC"/>
    <w:rsid w:val="00D3467C"/>
    <w:rsid w:val="00D355C2"/>
    <w:rsid w:val="00D42301"/>
    <w:rsid w:val="00D45189"/>
    <w:rsid w:val="00D737DC"/>
    <w:rsid w:val="00D9350F"/>
    <w:rsid w:val="00D93BD9"/>
    <w:rsid w:val="00DB0DEC"/>
    <w:rsid w:val="00DC1FE5"/>
    <w:rsid w:val="00DC669D"/>
    <w:rsid w:val="00DC783C"/>
    <w:rsid w:val="00E002E7"/>
    <w:rsid w:val="00E056C0"/>
    <w:rsid w:val="00E066C3"/>
    <w:rsid w:val="00E127F1"/>
    <w:rsid w:val="00E21778"/>
    <w:rsid w:val="00E229B7"/>
    <w:rsid w:val="00E31180"/>
    <w:rsid w:val="00E332B9"/>
    <w:rsid w:val="00EC4D1F"/>
    <w:rsid w:val="00EC7F60"/>
    <w:rsid w:val="00ED1532"/>
    <w:rsid w:val="00F07726"/>
    <w:rsid w:val="00F135C0"/>
    <w:rsid w:val="00F16C8A"/>
    <w:rsid w:val="00F34F0A"/>
    <w:rsid w:val="00F4664F"/>
    <w:rsid w:val="00F50685"/>
    <w:rsid w:val="00F61C60"/>
    <w:rsid w:val="00F656F6"/>
    <w:rsid w:val="00F812AD"/>
    <w:rsid w:val="00F83478"/>
    <w:rsid w:val="00F83CEB"/>
    <w:rsid w:val="00F85785"/>
    <w:rsid w:val="00FB13F2"/>
    <w:rsid w:val="00FC550B"/>
    <w:rsid w:val="00FD0003"/>
    <w:rsid w:val="00FD264B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BFCE8D4-C52C-4563-8956-C0A4FD53B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character" w:styleId="Hyperlink">
    <w:name w:val="Hyperlink"/>
    <w:basedOn w:val="Fontepargpadro"/>
    <w:unhideWhenUsed/>
    <w:rsid w:val="00756236"/>
    <w:rPr>
      <w:color w:val="0000FF" w:themeColor="hyperlink"/>
      <w:u w:val="single"/>
    </w:rPr>
  </w:style>
  <w:style w:type="paragraph" w:styleId="PargrafodaLista">
    <w:name w:val="List Paragraph"/>
    <w:aliases w:val="Figura"/>
    <w:basedOn w:val="Normal"/>
    <w:uiPriority w:val="1"/>
    <w:qFormat/>
    <w:rsid w:val="00756236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extomateria">
    <w:name w:val="textomateria"/>
    <w:basedOn w:val="Fontepargpadro"/>
    <w:rsid w:val="00756236"/>
  </w:style>
  <w:style w:type="table" w:styleId="Tabelacomgrade">
    <w:name w:val="Table Grid"/>
    <w:basedOn w:val="Tabelanormal"/>
    <w:uiPriority w:val="59"/>
    <w:rsid w:val="007562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7562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56236"/>
    <w:rPr>
      <w:i/>
      <w:iCs/>
    </w:rPr>
  </w:style>
  <w:style w:type="character" w:customStyle="1" w:styleId="apple-converted-space">
    <w:name w:val="apple-converted-space"/>
    <w:basedOn w:val="Fontepargpadro"/>
    <w:rsid w:val="00756236"/>
  </w:style>
  <w:style w:type="character" w:customStyle="1" w:styleId="st1">
    <w:name w:val="st1"/>
    <w:basedOn w:val="Fontepargpadro"/>
    <w:rsid w:val="00756236"/>
  </w:style>
  <w:style w:type="character" w:customStyle="1" w:styleId="sobrenome">
    <w:name w:val="sobrenome"/>
    <w:basedOn w:val="Fontepargpadro"/>
    <w:rsid w:val="00756236"/>
  </w:style>
  <w:style w:type="paragraph" w:customStyle="1" w:styleId="Default">
    <w:name w:val="Default"/>
    <w:rsid w:val="0075623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character" w:customStyle="1" w:styleId="hps">
    <w:name w:val="hps"/>
    <w:basedOn w:val="Fontepargpadro"/>
    <w:rsid w:val="00756236"/>
  </w:style>
  <w:style w:type="character" w:customStyle="1" w:styleId="st">
    <w:name w:val="st"/>
    <w:basedOn w:val="Fontepargpadro"/>
    <w:rsid w:val="00756236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5623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56236"/>
    <w:rPr>
      <w:rFonts w:asciiTheme="minorHAnsi" w:eastAsiaTheme="minorHAnsi" w:hAnsiTheme="minorHAnsi" w:cstheme="minorBidi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756236"/>
    <w:rPr>
      <w:vertAlign w:val="superscript"/>
    </w:rPr>
  </w:style>
  <w:style w:type="character" w:customStyle="1" w:styleId="shorttext">
    <w:name w:val="short_text"/>
    <w:basedOn w:val="Fontepargpadro"/>
    <w:rsid w:val="00756236"/>
  </w:style>
  <w:style w:type="paragraph" w:customStyle="1" w:styleId="IDpaper-Autor">
    <w:name w:val="IDpaper- Autor"/>
    <w:basedOn w:val="Normal"/>
    <w:rsid w:val="00756236"/>
    <w:pPr>
      <w:widowControl w:val="0"/>
      <w:tabs>
        <w:tab w:val="left" w:pos="567"/>
      </w:tabs>
      <w:spacing w:after="240" w:line="240" w:lineRule="auto"/>
      <w:ind w:left="-397"/>
      <w:outlineLvl w:val="0"/>
    </w:pPr>
    <w:rPr>
      <w:rFonts w:ascii="Arial" w:eastAsia="Times New Roman" w:hAnsi="Arial"/>
      <w:bCs/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e_win@hotmail.com" TargetMode="External"/><Relationship Id="rId13" Type="http://schemas.openxmlformats.org/officeDocument/2006/relationships/hyperlink" Target="http://www.portaltransparencia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85279-AF09-4FEB-8DFB-0056A462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4</Pages>
  <Words>1294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5</cp:revision>
  <dcterms:created xsi:type="dcterms:W3CDTF">2015-01-20T23:49:00Z</dcterms:created>
  <dcterms:modified xsi:type="dcterms:W3CDTF">2015-02-09T22:19:00Z</dcterms:modified>
</cp:coreProperties>
</file>